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E8F" w:rsidRDefault="00870E8F">
      <w:pPr>
        <w:spacing w:line="200" w:lineRule="exact"/>
        <w:rPr>
          <w:sz w:val="20"/>
          <w:szCs w:val="20"/>
        </w:rPr>
      </w:pPr>
    </w:p>
    <w:p w:rsidR="00674CD1" w:rsidRDefault="003D585D">
      <w:pPr>
        <w:pStyle w:val="Heading1"/>
        <w:ind w:right="117"/>
        <w:jc w:val="right"/>
        <w:rPr>
          <w:b w:val="0"/>
          <w:bCs w:val="0"/>
          <w:u w:val="none"/>
        </w:rPr>
      </w:pPr>
      <w:r>
        <w:rPr>
          <w:spacing w:val="-1"/>
        </w:rPr>
        <w:t>C</w:t>
      </w:r>
      <w:r>
        <w:t>O</w:t>
      </w:r>
      <w:r>
        <w:rPr>
          <w:spacing w:val="-2"/>
        </w:rPr>
        <w:t>N</w:t>
      </w:r>
      <w:r>
        <w:rPr>
          <w:spacing w:val="1"/>
        </w:rPr>
        <w:t>T</w:t>
      </w:r>
      <w:r>
        <w:rPr>
          <w:spacing w:val="-6"/>
        </w:rPr>
        <w:t>A</w:t>
      </w:r>
      <w:r>
        <w:rPr>
          <w:spacing w:val="1"/>
        </w:rPr>
        <w:t>C</w:t>
      </w:r>
      <w:r>
        <w:t>T</w:t>
      </w:r>
    </w:p>
    <w:p w:rsidR="006211CF" w:rsidRPr="00A5416E" w:rsidRDefault="003D585D" w:rsidP="00CB383F">
      <w:pPr>
        <w:pStyle w:val="BodyText"/>
        <w:spacing w:before="40"/>
        <w:ind w:left="6368" w:right="115"/>
        <w:jc w:val="right"/>
        <w:rPr>
          <w:sz w:val="20"/>
          <w:szCs w:val="20"/>
        </w:rPr>
      </w:pPr>
      <w:r w:rsidRPr="00A5416E">
        <w:rPr>
          <w:spacing w:val="-1"/>
          <w:sz w:val="20"/>
          <w:szCs w:val="20"/>
        </w:rPr>
        <w:t>A</w:t>
      </w:r>
      <w:r w:rsidR="006211CF" w:rsidRPr="00A5416E">
        <w:rPr>
          <w:sz w:val="20"/>
          <w:szCs w:val="20"/>
        </w:rPr>
        <w:t xml:space="preserve">nn </w:t>
      </w:r>
      <w:r w:rsidRPr="00A5416E">
        <w:rPr>
          <w:sz w:val="20"/>
          <w:szCs w:val="20"/>
        </w:rPr>
        <w:t>Jo</w:t>
      </w:r>
      <w:r w:rsidRPr="00A5416E">
        <w:rPr>
          <w:spacing w:val="-1"/>
          <w:sz w:val="20"/>
          <w:szCs w:val="20"/>
        </w:rPr>
        <w:t>h</w:t>
      </w:r>
      <w:r w:rsidRPr="00A5416E">
        <w:rPr>
          <w:sz w:val="20"/>
          <w:szCs w:val="20"/>
        </w:rPr>
        <w:t>ns</w:t>
      </w:r>
      <w:r w:rsidRPr="00A5416E">
        <w:rPr>
          <w:spacing w:val="-1"/>
          <w:sz w:val="20"/>
          <w:szCs w:val="20"/>
        </w:rPr>
        <w:t>o</w:t>
      </w:r>
      <w:r w:rsidRPr="00A5416E">
        <w:rPr>
          <w:sz w:val="20"/>
          <w:szCs w:val="20"/>
        </w:rPr>
        <w:t xml:space="preserve">n </w:t>
      </w:r>
    </w:p>
    <w:p w:rsidR="00674CD1" w:rsidRPr="00A5416E" w:rsidRDefault="003D585D" w:rsidP="00CB383F">
      <w:pPr>
        <w:pStyle w:val="BodyText"/>
        <w:spacing w:before="40"/>
        <w:ind w:left="6368" w:right="115"/>
        <w:jc w:val="right"/>
        <w:rPr>
          <w:sz w:val="20"/>
          <w:szCs w:val="20"/>
        </w:rPr>
      </w:pPr>
      <w:r w:rsidRPr="00A5416E">
        <w:rPr>
          <w:spacing w:val="-1"/>
          <w:sz w:val="20"/>
          <w:szCs w:val="20"/>
        </w:rPr>
        <w:t>S</w:t>
      </w:r>
      <w:r w:rsidRPr="00A5416E">
        <w:rPr>
          <w:sz w:val="20"/>
          <w:szCs w:val="20"/>
        </w:rPr>
        <w:t>e</w:t>
      </w:r>
      <w:r w:rsidRPr="00A5416E">
        <w:rPr>
          <w:spacing w:val="-1"/>
          <w:sz w:val="20"/>
          <w:szCs w:val="20"/>
        </w:rPr>
        <w:t>n</w:t>
      </w:r>
      <w:r w:rsidRPr="00A5416E">
        <w:rPr>
          <w:spacing w:val="-2"/>
          <w:sz w:val="20"/>
          <w:szCs w:val="20"/>
        </w:rPr>
        <w:t>i</w:t>
      </w:r>
      <w:r w:rsidRPr="00A5416E">
        <w:rPr>
          <w:sz w:val="20"/>
          <w:szCs w:val="20"/>
        </w:rPr>
        <w:t>or</w:t>
      </w:r>
      <w:r w:rsidRPr="00A5416E">
        <w:rPr>
          <w:spacing w:val="1"/>
          <w:sz w:val="20"/>
          <w:szCs w:val="20"/>
        </w:rPr>
        <w:t xml:space="preserve"> </w:t>
      </w:r>
      <w:r w:rsidRPr="00A5416E">
        <w:rPr>
          <w:spacing w:val="-2"/>
          <w:sz w:val="20"/>
          <w:szCs w:val="20"/>
        </w:rPr>
        <w:t>Di</w:t>
      </w:r>
      <w:r w:rsidRPr="00A5416E">
        <w:rPr>
          <w:sz w:val="20"/>
          <w:szCs w:val="20"/>
        </w:rPr>
        <w:t>rect</w:t>
      </w:r>
      <w:r w:rsidRPr="00A5416E">
        <w:rPr>
          <w:spacing w:val="-3"/>
          <w:sz w:val="20"/>
          <w:szCs w:val="20"/>
        </w:rPr>
        <w:t>o</w:t>
      </w:r>
      <w:r w:rsidRPr="00A5416E">
        <w:rPr>
          <w:sz w:val="20"/>
          <w:szCs w:val="20"/>
        </w:rPr>
        <w:t>r,</w:t>
      </w:r>
      <w:r w:rsidRPr="00A5416E">
        <w:rPr>
          <w:spacing w:val="-1"/>
          <w:sz w:val="20"/>
          <w:szCs w:val="20"/>
        </w:rPr>
        <w:t xml:space="preserve"> A</w:t>
      </w:r>
      <w:r w:rsidRPr="00A5416E">
        <w:rPr>
          <w:spacing w:val="-2"/>
          <w:sz w:val="20"/>
          <w:szCs w:val="20"/>
        </w:rPr>
        <w:t>C</w:t>
      </w:r>
      <w:r w:rsidRPr="00A5416E">
        <w:rPr>
          <w:sz w:val="20"/>
          <w:szCs w:val="20"/>
        </w:rPr>
        <w:t>T R</w:t>
      </w:r>
      <w:r w:rsidRPr="00A5416E">
        <w:rPr>
          <w:spacing w:val="-4"/>
          <w:sz w:val="20"/>
          <w:szCs w:val="20"/>
        </w:rPr>
        <w:t>o</w:t>
      </w:r>
      <w:r w:rsidRPr="00A5416E">
        <w:rPr>
          <w:sz w:val="20"/>
          <w:szCs w:val="20"/>
        </w:rPr>
        <w:t>ch</w:t>
      </w:r>
      <w:r w:rsidRPr="00A5416E">
        <w:rPr>
          <w:spacing w:val="-1"/>
          <w:sz w:val="20"/>
          <w:szCs w:val="20"/>
        </w:rPr>
        <w:t>e</w:t>
      </w:r>
      <w:r w:rsidRPr="00A5416E">
        <w:rPr>
          <w:sz w:val="20"/>
          <w:szCs w:val="20"/>
        </w:rPr>
        <w:t>ster</w:t>
      </w:r>
    </w:p>
    <w:p w:rsidR="00674CD1" w:rsidRPr="00A5416E" w:rsidRDefault="003D585D" w:rsidP="00CB383F">
      <w:pPr>
        <w:pStyle w:val="BodyText"/>
        <w:spacing w:before="1"/>
        <w:ind w:left="0" w:right="115"/>
        <w:jc w:val="right"/>
        <w:rPr>
          <w:spacing w:val="-1"/>
          <w:sz w:val="20"/>
          <w:szCs w:val="20"/>
        </w:rPr>
      </w:pPr>
      <w:r w:rsidRPr="00A5416E">
        <w:rPr>
          <w:spacing w:val="-1"/>
          <w:sz w:val="20"/>
          <w:szCs w:val="20"/>
        </w:rPr>
        <w:t>585</w:t>
      </w:r>
      <w:r w:rsidRPr="00A5416E">
        <w:rPr>
          <w:spacing w:val="1"/>
          <w:sz w:val="20"/>
          <w:szCs w:val="20"/>
        </w:rPr>
        <w:t>.</w:t>
      </w:r>
      <w:r w:rsidRPr="00A5416E">
        <w:rPr>
          <w:spacing w:val="-1"/>
          <w:sz w:val="20"/>
          <w:szCs w:val="20"/>
        </w:rPr>
        <w:t>341</w:t>
      </w:r>
      <w:r w:rsidRPr="00A5416E">
        <w:rPr>
          <w:spacing w:val="1"/>
          <w:sz w:val="20"/>
          <w:szCs w:val="20"/>
        </w:rPr>
        <w:t>.</w:t>
      </w:r>
      <w:r w:rsidRPr="00A5416E">
        <w:rPr>
          <w:spacing w:val="-1"/>
          <w:sz w:val="20"/>
          <w:szCs w:val="20"/>
        </w:rPr>
        <w:t>4361</w:t>
      </w:r>
    </w:p>
    <w:p w:rsidR="00870E8F" w:rsidRPr="00A5416E" w:rsidRDefault="00870E8F" w:rsidP="00CB383F">
      <w:pPr>
        <w:pStyle w:val="BodyText"/>
        <w:spacing w:before="1"/>
        <w:ind w:left="0" w:right="115"/>
        <w:jc w:val="right"/>
        <w:rPr>
          <w:i/>
          <w:sz w:val="20"/>
          <w:szCs w:val="20"/>
        </w:rPr>
      </w:pPr>
      <w:r w:rsidRPr="00A5416E">
        <w:rPr>
          <w:i/>
          <w:spacing w:val="-1"/>
          <w:sz w:val="20"/>
          <w:szCs w:val="20"/>
        </w:rPr>
        <w:t>ajohnson@racf.org</w:t>
      </w:r>
    </w:p>
    <w:p w:rsidR="00674CD1" w:rsidRDefault="00674CD1">
      <w:pPr>
        <w:spacing w:before="4" w:line="160" w:lineRule="exact"/>
        <w:rPr>
          <w:sz w:val="16"/>
          <w:szCs w:val="16"/>
        </w:rPr>
      </w:pPr>
    </w:p>
    <w:p w:rsidR="00674CD1" w:rsidRDefault="003D585D">
      <w:pPr>
        <w:pStyle w:val="Heading1"/>
        <w:ind w:left="100"/>
        <w:rPr>
          <w:b w:val="0"/>
          <w:bCs w:val="0"/>
          <w:u w:val="none"/>
        </w:rPr>
      </w:pPr>
      <w:r>
        <w:rPr>
          <w:u w:val="thick" w:color="000000"/>
        </w:rPr>
        <w:t>F</w:t>
      </w:r>
      <w:r>
        <w:rPr>
          <w:spacing w:val="-2"/>
          <w:u w:val="thick" w:color="000000"/>
        </w:rPr>
        <w:t>o</w:t>
      </w:r>
      <w:r>
        <w:rPr>
          <w:u w:val="thick" w:color="000000"/>
        </w:rPr>
        <w:t>r</w:t>
      </w:r>
      <w:r>
        <w:rPr>
          <w:spacing w:val="1"/>
          <w:u w:val="thick" w:color="000000"/>
        </w:rPr>
        <w:t xml:space="preserve"> </w:t>
      </w:r>
      <w:r>
        <w:rPr>
          <w:spacing w:val="-2"/>
          <w:u w:val="thick" w:color="000000"/>
        </w:rPr>
        <w:t>i</w:t>
      </w:r>
      <w:r>
        <w:rPr>
          <w:u w:val="thick" w:color="000000"/>
        </w:rPr>
        <w:t>mme</w:t>
      </w:r>
      <w:r>
        <w:rPr>
          <w:spacing w:val="-4"/>
          <w:u w:val="thick" w:color="000000"/>
        </w:rPr>
        <w:t>d</w:t>
      </w:r>
      <w:r>
        <w:rPr>
          <w:u w:val="thick" w:color="000000"/>
        </w:rPr>
        <w:t>iate</w:t>
      </w:r>
      <w:r>
        <w:rPr>
          <w:spacing w:val="-2"/>
          <w:u w:val="thick" w:color="000000"/>
        </w:rPr>
        <w:t xml:space="preserve"> </w:t>
      </w:r>
      <w:r>
        <w:rPr>
          <w:u w:val="thick" w:color="000000"/>
        </w:rPr>
        <w:t>r</w:t>
      </w:r>
      <w:r>
        <w:rPr>
          <w:spacing w:val="-3"/>
          <w:u w:val="thick" w:color="000000"/>
        </w:rPr>
        <w:t>e</w:t>
      </w:r>
      <w:r>
        <w:rPr>
          <w:u w:val="thick" w:color="000000"/>
        </w:rPr>
        <w:t>le</w:t>
      </w:r>
      <w:r>
        <w:rPr>
          <w:spacing w:val="-1"/>
          <w:u w:val="thick" w:color="000000"/>
        </w:rPr>
        <w:t>a</w:t>
      </w:r>
      <w:r>
        <w:rPr>
          <w:u w:val="thick" w:color="000000"/>
        </w:rPr>
        <w:t>se</w:t>
      </w:r>
    </w:p>
    <w:p w:rsidR="00674CD1" w:rsidRPr="00A5416E" w:rsidRDefault="00C3135B">
      <w:pPr>
        <w:pStyle w:val="BodyText"/>
        <w:spacing w:before="40"/>
        <w:rPr>
          <w:sz w:val="20"/>
          <w:szCs w:val="20"/>
        </w:rPr>
      </w:pPr>
      <w:r w:rsidRPr="00A5416E">
        <w:rPr>
          <w:spacing w:val="-1"/>
          <w:sz w:val="20"/>
          <w:szCs w:val="20"/>
        </w:rPr>
        <w:t>August 16, 2017</w:t>
      </w:r>
    </w:p>
    <w:p w:rsidR="00674CD1" w:rsidRDefault="00674CD1">
      <w:pPr>
        <w:spacing w:before="8" w:line="240" w:lineRule="exact"/>
        <w:rPr>
          <w:sz w:val="24"/>
          <w:szCs w:val="24"/>
        </w:rPr>
      </w:pPr>
    </w:p>
    <w:p w:rsidR="008332E3" w:rsidRDefault="008332E3" w:rsidP="008332E3">
      <w:pPr>
        <w:pStyle w:val="BodyText"/>
        <w:spacing w:line="239" w:lineRule="auto"/>
        <w:ind w:right="397"/>
        <w:jc w:val="center"/>
        <w:rPr>
          <w:b/>
          <w:spacing w:val="-1"/>
          <w:sz w:val="28"/>
          <w:szCs w:val="28"/>
        </w:rPr>
      </w:pPr>
      <w:r>
        <w:rPr>
          <w:b/>
          <w:spacing w:val="-1"/>
          <w:sz w:val="28"/>
          <w:szCs w:val="28"/>
        </w:rPr>
        <w:t xml:space="preserve">Region Falls Far Behind State and Nation in Outcomes </w:t>
      </w:r>
      <w:r w:rsidR="001C4534">
        <w:rPr>
          <w:b/>
          <w:spacing w:val="-1"/>
          <w:sz w:val="28"/>
          <w:szCs w:val="28"/>
        </w:rPr>
        <w:br/>
      </w:r>
      <w:r>
        <w:rPr>
          <w:b/>
          <w:spacing w:val="-1"/>
          <w:sz w:val="28"/>
          <w:szCs w:val="28"/>
        </w:rPr>
        <w:t>for Blacks and Latinos</w:t>
      </w:r>
    </w:p>
    <w:p w:rsidR="008332E3" w:rsidRDefault="008332E3" w:rsidP="008332E3">
      <w:pPr>
        <w:pStyle w:val="BodyText"/>
        <w:spacing w:line="239" w:lineRule="auto"/>
        <w:ind w:right="397"/>
        <w:jc w:val="center"/>
        <w:rPr>
          <w:b/>
          <w:spacing w:val="-1"/>
          <w:sz w:val="28"/>
          <w:szCs w:val="28"/>
        </w:rPr>
      </w:pPr>
    </w:p>
    <w:p w:rsidR="008332E3" w:rsidRDefault="008332E3" w:rsidP="008332E3">
      <w:pPr>
        <w:pStyle w:val="BodyText"/>
        <w:spacing w:line="276" w:lineRule="auto"/>
        <w:ind w:right="397"/>
      </w:pPr>
      <w:r>
        <w:rPr>
          <w:spacing w:val="-1"/>
        </w:rPr>
        <w:t>AC</w:t>
      </w:r>
      <w:r>
        <w:t>T</w:t>
      </w:r>
      <w:r>
        <w:rPr>
          <w:spacing w:val="3"/>
        </w:rPr>
        <w:t xml:space="preserve"> </w:t>
      </w:r>
      <w:r>
        <w:rPr>
          <w:spacing w:val="-2"/>
        </w:rPr>
        <w:t>R</w:t>
      </w:r>
      <w:r>
        <w:t>oc</w:t>
      </w:r>
      <w:r>
        <w:rPr>
          <w:spacing w:val="-1"/>
        </w:rPr>
        <w:t>h</w:t>
      </w:r>
      <w:r>
        <w:t>e</w:t>
      </w:r>
      <w:r>
        <w:rPr>
          <w:spacing w:val="-3"/>
        </w:rPr>
        <w:t>s</w:t>
      </w:r>
      <w:r>
        <w:t>ter</w:t>
      </w:r>
      <w:r>
        <w:rPr>
          <w:spacing w:val="-1"/>
        </w:rPr>
        <w:t xml:space="preserve"> an</w:t>
      </w:r>
      <w:r>
        <w:t>d</w:t>
      </w:r>
      <w:r>
        <w:rPr>
          <w:spacing w:val="1"/>
        </w:rPr>
        <w:t xml:space="preserve"> </w:t>
      </w:r>
      <w:r>
        <w:rPr>
          <w:spacing w:val="-2"/>
        </w:rPr>
        <w:t>R</w:t>
      </w:r>
      <w:r>
        <w:t>o</w:t>
      </w:r>
      <w:r>
        <w:rPr>
          <w:spacing w:val="-3"/>
        </w:rPr>
        <w:t>c</w:t>
      </w:r>
      <w:r>
        <w:t>h</w:t>
      </w:r>
      <w:r>
        <w:rPr>
          <w:spacing w:val="-1"/>
        </w:rPr>
        <w:t>e</w:t>
      </w:r>
      <w:r>
        <w:t>ster</w:t>
      </w:r>
      <w:r>
        <w:rPr>
          <w:spacing w:val="-1"/>
        </w:rPr>
        <w:t xml:space="preserve"> A</w:t>
      </w:r>
      <w:r>
        <w:t>rea</w:t>
      </w:r>
      <w:r>
        <w:rPr>
          <w:spacing w:val="-2"/>
        </w:rPr>
        <w:t xml:space="preserve"> C</w:t>
      </w:r>
      <w:r>
        <w:t>o</w:t>
      </w:r>
      <w:r>
        <w:rPr>
          <w:spacing w:val="-2"/>
        </w:rPr>
        <w:t>m</w:t>
      </w:r>
      <w:r>
        <w:t>mu</w:t>
      </w:r>
      <w:r>
        <w:rPr>
          <w:spacing w:val="-1"/>
        </w:rPr>
        <w:t>n</w:t>
      </w:r>
      <w:r>
        <w:rPr>
          <w:spacing w:val="-2"/>
        </w:rPr>
        <w:t>i</w:t>
      </w:r>
      <w:r>
        <w:t>ty</w:t>
      </w:r>
      <w:r>
        <w:rPr>
          <w:spacing w:val="-3"/>
        </w:rPr>
        <w:t xml:space="preserve"> </w:t>
      </w:r>
      <w:r>
        <w:t>F</w:t>
      </w:r>
      <w:r>
        <w:rPr>
          <w:spacing w:val="-1"/>
        </w:rPr>
        <w:t>o</w:t>
      </w:r>
      <w:r>
        <w:t>u</w:t>
      </w:r>
      <w:r>
        <w:rPr>
          <w:spacing w:val="-1"/>
        </w:rPr>
        <w:t>n</w:t>
      </w:r>
      <w:r>
        <w:t>d</w:t>
      </w:r>
      <w:r>
        <w:rPr>
          <w:spacing w:val="-1"/>
        </w:rPr>
        <w:t>a</w:t>
      </w:r>
      <w:r>
        <w:t>t</w:t>
      </w:r>
      <w:r>
        <w:rPr>
          <w:spacing w:val="-2"/>
        </w:rPr>
        <w:t>i</w:t>
      </w:r>
      <w:r>
        <w:t>on have re</w:t>
      </w:r>
      <w:r>
        <w:rPr>
          <w:spacing w:val="-2"/>
        </w:rPr>
        <w:t>l</w:t>
      </w:r>
      <w:r>
        <w:t>e</w:t>
      </w:r>
      <w:r>
        <w:rPr>
          <w:spacing w:val="-1"/>
        </w:rPr>
        <w:t>a</w:t>
      </w:r>
      <w:r>
        <w:t>sed a report that documents how the status of African Americans and Latinos in the entire nine-county Rochester region significantly lags their counterparts in New York State and nationwide.  “Hard Facts: Race and Ethnicity in the Nine-County Greater Rochester Area” examines the substantial gaps in educational and economic outcomes among persons of different racial and ethnic backgrounds, based on data from the U.S. Census American Community Survey (2011-2015) and the New York State Department of Education student assessments for 2016. For example:</w:t>
      </w:r>
    </w:p>
    <w:p w:rsidR="0051492F" w:rsidRDefault="0051492F" w:rsidP="008332E3">
      <w:pPr>
        <w:pStyle w:val="BodyText"/>
        <w:spacing w:line="276" w:lineRule="auto"/>
        <w:ind w:right="397"/>
      </w:pPr>
    </w:p>
    <w:tbl>
      <w:tblPr>
        <w:tblStyle w:val="TableGrid"/>
        <w:tblW w:w="0" w:type="auto"/>
        <w:jc w:val="center"/>
        <w:tblLook w:val="04A0" w:firstRow="1" w:lastRow="0" w:firstColumn="1" w:lastColumn="0" w:noHBand="0" w:noVBand="1"/>
      </w:tblPr>
      <w:tblGrid>
        <w:gridCol w:w="5305"/>
        <w:gridCol w:w="1350"/>
        <w:gridCol w:w="1350"/>
        <w:gridCol w:w="1345"/>
      </w:tblGrid>
      <w:tr w:rsidR="00870E8F" w:rsidRPr="005F3DC5" w:rsidTr="00B477DE">
        <w:trPr>
          <w:jc w:val="center"/>
        </w:trPr>
        <w:tc>
          <w:tcPr>
            <w:tcW w:w="9350" w:type="dxa"/>
            <w:gridSpan w:val="4"/>
          </w:tcPr>
          <w:p w:rsidR="00870E8F" w:rsidRPr="005F3DC5" w:rsidRDefault="00870E8F" w:rsidP="00B477DE">
            <w:pPr>
              <w:jc w:val="center"/>
              <w:rPr>
                <w:rFonts w:ascii="Arial" w:hAnsi="Arial" w:cs="Arial"/>
                <w:b/>
                <w:color w:val="000000" w:themeColor="text1"/>
              </w:rPr>
            </w:pPr>
            <w:r w:rsidRPr="005F3DC5">
              <w:rPr>
                <w:rFonts w:ascii="Arial" w:hAnsi="Arial" w:cs="Arial"/>
                <w:b/>
                <w:color w:val="000000" w:themeColor="text1"/>
              </w:rPr>
              <w:t xml:space="preserve">Outcomes for </w:t>
            </w:r>
            <w:r w:rsidR="00CB383F">
              <w:rPr>
                <w:rFonts w:ascii="Arial" w:hAnsi="Arial" w:cs="Arial"/>
                <w:b/>
                <w:color w:val="000000" w:themeColor="text1"/>
              </w:rPr>
              <w:t>African Americans and Latinos: T</w:t>
            </w:r>
            <w:r w:rsidRPr="005F3DC5">
              <w:rPr>
                <w:rFonts w:ascii="Arial" w:hAnsi="Arial" w:cs="Arial"/>
                <w:b/>
                <w:color w:val="000000" w:themeColor="text1"/>
              </w:rPr>
              <w:t>he Region, State</w:t>
            </w:r>
            <w:r w:rsidR="00CB383F">
              <w:rPr>
                <w:rFonts w:ascii="Arial" w:hAnsi="Arial" w:cs="Arial"/>
                <w:b/>
                <w:color w:val="000000" w:themeColor="text1"/>
              </w:rPr>
              <w:t>,</w:t>
            </w:r>
            <w:r w:rsidRPr="005F3DC5">
              <w:rPr>
                <w:rFonts w:ascii="Arial" w:hAnsi="Arial" w:cs="Arial"/>
                <w:b/>
                <w:color w:val="000000" w:themeColor="text1"/>
              </w:rPr>
              <w:t xml:space="preserve"> and Nation</w:t>
            </w:r>
          </w:p>
        </w:tc>
      </w:tr>
      <w:tr w:rsidR="00870E8F" w:rsidRPr="005F3DC5" w:rsidTr="00B477DE">
        <w:trPr>
          <w:jc w:val="center"/>
        </w:trPr>
        <w:tc>
          <w:tcPr>
            <w:tcW w:w="5305" w:type="dxa"/>
          </w:tcPr>
          <w:p w:rsidR="00CB383F" w:rsidRDefault="00CB383F" w:rsidP="00B477DE">
            <w:pPr>
              <w:rPr>
                <w:rFonts w:ascii="Arial" w:hAnsi="Arial" w:cs="Arial"/>
                <w:b/>
                <w:color w:val="000000" w:themeColor="text1"/>
              </w:rPr>
            </w:pPr>
          </w:p>
          <w:p w:rsidR="00870E8F" w:rsidRPr="005F3DC5" w:rsidRDefault="00CB383F" w:rsidP="00B477DE">
            <w:pPr>
              <w:rPr>
                <w:rFonts w:ascii="Arial" w:hAnsi="Arial" w:cs="Arial"/>
                <w:b/>
                <w:color w:val="000000" w:themeColor="text1"/>
              </w:rPr>
            </w:pPr>
            <w:r>
              <w:rPr>
                <w:rFonts w:ascii="Arial" w:hAnsi="Arial" w:cs="Arial"/>
                <w:b/>
                <w:color w:val="000000" w:themeColor="text1"/>
              </w:rPr>
              <w:t>INDICATOR</w:t>
            </w:r>
          </w:p>
        </w:tc>
        <w:tc>
          <w:tcPr>
            <w:tcW w:w="1350" w:type="dxa"/>
          </w:tcPr>
          <w:p w:rsidR="00870E8F" w:rsidRPr="005F3DC5" w:rsidRDefault="00870E8F" w:rsidP="00B477DE">
            <w:pPr>
              <w:jc w:val="center"/>
              <w:rPr>
                <w:rFonts w:ascii="Arial" w:hAnsi="Arial" w:cs="Arial"/>
                <w:b/>
                <w:color w:val="000000" w:themeColor="text1"/>
              </w:rPr>
            </w:pPr>
            <w:r>
              <w:rPr>
                <w:rFonts w:ascii="Arial" w:hAnsi="Arial" w:cs="Arial"/>
                <w:b/>
                <w:color w:val="000000" w:themeColor="text1"/>
              </w:rPr>
              <w:t>Nine-C</w:t>
            </w:r>
            <w:r w:rsidRPr="005F3DC5">
              <w:rPr>
                <w:rFonts w:ascii="Arial" w:hAnsi="Arial" w:cs="Arial"/>
                <w:b/>
                <w:color w:val="000000" w:themeColor="text1"/>
              </w:rPr>
              <w:t>ounty</w:t>
            </w:r>
            <w:r w:rsidR="007E4AB7">
              <w:rPr>
                <w:rFonts w:ascii="Arial" w:hAnsi="Arial" w:cs="Arial"/>
                <w:b/>
                <w:color w:val="000000" w:themeColor="text1"/>
              </w:rPr>
              <w:t xml:space="preserve"> Rochester</w:t>
            </w:r>
            <w:r w:rsidRPr="005F3DC5">
              <w:rPr>
                <w:rFonts w:ascii="Arial" w:hAnsi="Arial" w:cs="Arial"/>
                <w:b/>
                <w:color w:val="000000" w:themeColor="text1"/>
              </w:rPr>
              <w:t xml:space="preserve"> Region</w:t>
            </w:r>
          </w:p>
        </w:tc>
        <w:tc>
          <w:tcPr>
            <w:tcW w:w="1350" w:type="dxa"/>
          </w:tcPr>
          <w:p w:rsidR="002A5C81" w:rsidRDefault="002A5C81" w:rsidP="00B477DE">
            <w:pPr>
              <w:jc w:val="center"/>
              <w:rPr>
                <w:rFonts w:ascii="Arial" w:hAnsi="Arial" w:cs="Arial"/>
                <w:b/>
                <w:color w:val="000000" w:themeColor="text1"/>
              </w:rPr>
            </w:pPr>
          </w:p>
          <w:p w:rsidR="00870E8F" w:rsidRPr="005F3DC5" w:rsidRDefault="00870E8F" w:rsidP="00B477DE">
            <w:pPr>
              <w:jc w:val="center"/>
              <w:rPr>
                <w:rFonts w:ascii="Arial" w:hAnsi="Arial" w:cs="Arial"/>
                <w:b/>
                <w:color w:val="000000" w:themeColor="text1"/>
              </w:rPr>
            </w:pPr>
            <w:r w:rsidRPr="005F3DC5">
              <w:rPr>
                <w:rFonts w:ascii="Arial" w:hAnsi="Arial" w:cs="Arial"/>
                <w:b/>
                <w:color w:val="000000" w:themeColor="text1"/>
              </w:rPr>
              <w:t>New York State</w:t>
            </w:r>
          </w:p>
        </w:tc>
        <w:tc>
          <w:tcPr>
            <w:tcW w:w="1345" w:type="dxa"/>
          </w:tcPr>
          <w:p w:rsidR="002A5C81" w:rsidRDefault="002A5C81" w:rsidP="00B477DE">
            <w:pPr>
              <w:jc w:val="center"/>
              <w:rPr>
                <w:rFonts w:ascii="Arial" w:hAnsi="Arial" w:cs="Arial"/>
                <w:b/>
                <w:color w:val="000000" w:themeColor="text1"/>
              </w:rPr>
            </w:pPr>
          </w:p>
          <w:p w:rsidR="00870E8F" w:rsidRPr="005F3DC5" w:rsidRDefault="00870E8F" w:rsidP="00B477DE">
            <w:pPr>
              <w:jc w:val="center"/>
              <w:rPr>
                <w:rFonts w:ascii="Arial" w:hAnsi="Arial" w:cs="Arial"/>
                <w:b/>
                <w:color w:val="000000" w:themeColor="text1"/>
              </w:rPr>
            </w:pPr>
            <w:r w:rsidRPr="005F3DC5">
              <w:rPr>
                <w:rFonts w:ascii="Arial" w:hAnsi="Arial" w:cs="Arial"/>
                <w:b/>
                <w:color w:val="000000" w:themeColor="text1"/>
              </w:rPr>
              <w:t>United States</w:t>
            </w:r>
          </w:p>
        </w:tc>
      </w:tr>
      <w:tr w:rsidR="00870E8F" w:rsidRPr="005F3DC5" w:rsidTr="00B477DE">
        <w:trPr>
          <w:jc w:val="center"/>
        </w:trPr>
        <w:tc>
          <w:tcPr>
            <w:tcW w:w="9350" w:type="dxa"/>
            <w:gridSpan w:val="4"/>
          </w:tcPr>
          <w:p w:rsidR="00870E8F" w:rsidRPr="005F3DC5" w:rsidRDefault="00870E8F" w:rsidP="00B477DE">
            <w:pPr>
              <w:rPr>
                <w:rFonts w:ascii="Arial" w:hAnsi="Arial" w:cs="Arial"/>
                <w:color w:val="000000" w:themeColor="text1"/>
              </w:rPr>
            </w:pPr>
          </w:p>
        </w:tc>
      </w:tr>
      <w:tr w:rsidR="00870E8F" w:rsidRPr="005F3DC5" w:rsidTr="00870E8F">
        <w:trPr>
          <w:trHeight w:val="432"/>
          <w:jc w:val="center"/>
        </w:trPr>
        <w:tc>
          <w:tcPr>
            <w:tcW w:w="5305" w:type="dxa"/>
            <w:shd w:val="clear" w:color="auto" w:fill="DDD9C3" w:themeFill="background2" w:themeFillShade="E6"/>
            <w:vAlign w:val="center"/>
          </w:tcPr>
          <w:p w:rsidR="00870E8F" w:rsidRPr="00870E8F" w:rsidRDefault="00CB383F" w:rsidP="00B477DE">
            <w:pPr>
              <w:rPr>
                <w:rFonts w:ascii="Arial" w:hAnsi="Arial" w:cs="Arial"/>
                <w:color w:val="000000" w:themeColor="text1"/>
              </w:rPr>
            </w:pPr>
            <w:r w:rsidRPr="00CB383F">
              <w:rPr>
                <w:rFonts w:ascii="Arial" w:hAnsi="Arial" w:cs="Arial"/>
                <w:b/>
                <w:color w:val="000000" w:themeColor="text1"/>
              </w:rPr>
              <w:t>Child Poverty Rate:</w:t>
            </w:r>
            <w:r>
              <w:rPr>
                <w:rFonts w:ascii="Arial" w:hAnsi="Arial" w:cs="Arial"/>
                <w:color w:val="000000" w:themeColor="text1"/>
              </w:rPr>
              <w:t xml:space="preserve"> </w:t>
            </w:r>
            <w:r w:rsidR="00870E8F" w:rsidRPr="00870E8F">
              <w:rPr>
                <w:rFonts w:ascii="Arial" w:hAnsi="Arial" w:cs="Arial"/>
                <w:color w:val="000000" w:themeColor="text1"/>
              </w:rPr>
              <w:t>African Americans</w:t>
            </w:r>
          </w:p>
        </w:tc>
        <w:tc>
          <w:tcPr>
            <w:tcW w:w="1350" w:type="dxa"/>
            <w:shd w:val="clear" w:color="auto" w:fill="DDD9C3" w:themeFill="background2" w:themeFillShade="E6"/>
            <w:vAlign w:val="center"/>
          </w:tcPr>
          <w:p w:rsidR="00870E8F" w:rsidRPr="002A5C81" w:rsidRDefault="00870E8F" w:rsidP="00B477DE">
            <w:pPr>
              <w:jc w:val="center"/>
              <w:rPr>
                <w:rFonts w:ascii="Arial" w:hAnsi="Arial" w:cs="Arial"/>
                <w:b/>
                <w:color w:val="000000" w:themeColor="text1"/>
              </w:rPr>
            </w:pPr>
            <w:r w:rsidRPr="002A5C81">
              <w:rPr>
                <w:rFonts w:ascii="Arial" w:hAnsi="Arial" w:cs="Arial"/>
                <w:b/>
                <w:color w:val="000000" w:themeColor="text1"/>
              </w:rPr>
              <w:t>50%</w:t>
            </w:r>
          </w:p>
        </w:tc>
        <w:tc>
          <w:tcPr>
            <w:tcW w:w="1350" w:type="dxa"/>
            <w:shd w:val="clear" w:color="auto" w:fill="DDD9C3" w:themeFill="background2" w:themeFillShade="E6"/>
            <w:vAlign w:val="center"/>
          </w:tcPr>
          <w:p w:rsidR="00870E8F" w:rsidRPr="00870E8F" w:rsidRDefault="00870E8F" w:rsidP="00B477DE">
            <w:pPr>
              <w:jc w:val="center"/>
              <w:rPr>
                <w:rFonts w:ascii="Arial" w:hAnsi="Arial" w:cs="Arial"/>
                <w:color w:val="000000" w:themeColor="text1"/>
              </w:rPr>
            </w:pPr>
            <w:r w:rsidRPr="00870E8F">
              <w:rPr>
                <w:rFonts w:ascii="Arial" w:hAnsi="Arial" w:cs="Arial"/>
                <w:color w:val="000000" w:themeColor="text1"/>
              </w:rPr>
              <w:t>33%</w:t>
            </w:r>
          </w:p>
        </w:tc>
        <w:tc>
          <w:tcPr>
            <w:tcW w:w="1345" w:type="dxa"/>
            <w:shd w:val="clear" w:color="auto" w:fill="DDD9C3" w:themeFill="background2" w:themeFillShade="E6"/>
            <w:vAlign w:val="center"/>
          </w:tcPr>
          <w:p w:rsidR="00870E8F" w:rsidRPr="00870E8F" w:rsidRDefault="00870E8F" w:rsidP="00B477DE">
            <w:pPr>
              <w:jc w:val="center"/>
              <w:rPr>
                <w:rFonts w:ascii="Arial" w:hAnsi="Arial" w:cs="Arial"/>
                <w:color w:val="000000" w:themeColor="text1"/>
              </w:rPr>
            </w:pPr>
            <w:r w:rsidRPr="00870E8F">
              <w:rPr>
                <w:rFonts w:ascii="Arial" w:hAnsi="Arial" w:cs="Arial"/>
                <w:color w:val="000000" w:themeColor="text1"/>
              </w:rPr>
              <w:t>38%</w:t>
            </w:r>
          </w:p>
        </w:tc>
      </w:tr>
      <w:tr w:rsidR="00870E8F" w:rsidRPr="005F3DC5" w:rsidTr="00870E8F">
        <w:trPr>
          <w:trHeight w:val="432"/>
          <w:jc w:val="center"/>
        </w:trPr>
        <w:tc>
          <w:tcPr>
            <w:tcW w:w="5305" w:type="dxa"/>
            <w:shd w:val="clear" w:color="auto" w:fill="DDD9C3" w:themeFill="background2" w:themeFillShade="E6"/>
            <w:vAlign w:val="center"/>
          </w:tcPr>
          <w:p w:rsidR="00870E8F" w:rsidRPr="00870E8F" w:rsidRDefault="00870E8F" w:rsidP="00B477DE">
            <w:pPr>
              <w:rPr>
                <w:rFonts w:ascii="Arial" w:hAnsi="Arial" w:cs="Arial"/>
                <w:color w:val="000000" w:themeColor="text1"/>
              </w:rPr>
            </w:pPr>
            <w:r w:rsidRPr="00CB383F">
              <w:rPr>
                <w:rFonts w:ascii="Arial" w:hAnsi="Arial" w:cs="Arial"/>
                <w:b/>
                <w:color w:val="000000" w:themeColor="text1"/>
              </w:rPr>
              <w:t>Child Poverty Rate:</w:t>
            </w:r>
            <w:r w:rsidRPr="00870E8F">
              <w:rPr>
                <w:rFonts w:ascii="Arial" w:hAnsi="Arial" w:cs="Arial"/>
                <w:color w:val="000000" w:themeColor="text1"/>
              </w:rPr>
              <w:t xml:space="preserve"> Latinos</w:t>
            </w:r>
          </w:p>
        </w:tc>
        <w:tc>
          <w:tcPr>
            <w:tcW w:w="1350" w:type="dxa"/>
            <w:shd w:val="clear" w:color="auto" w:fill="DDD9C3" w:themeFill="background2" w:themeFillShade="E6"/>
            <w:vAlign w:val="center"/>
          </w:tcPr>
          <w:p w:rsidR="00870E8F" w:rsidRPr="002A5C81" w:rsidRDefault="00870E8F" w:rsidP="00B477DE">
            <w:pPr>
              <w:jc w:val="center"/>
              <w:rPr>
                <w:rFonts w:ascii="Arial" w:hAnsi="Arial" w:cs="Arial"/>
                <w:b/>
                <w:color w:val="000000" w:themeColor="text1"/>
              </w:rPr>
            </w:pPr>
            <w:r w:rsidRPr="002A5C81">
              <w:rPr>
                <w:rFonts w:ascii="Arial" w:hAnsi="Arial" w:cs="Arial"/>
                <w:b/>
                <w:color w:val="000000" w:themeColor="text1"/>
              </w:rPr>
              <w:t>42%</w:t>
            </w:r>
          </w:p>
        </w:tc>
        <w:tc>
          <w:tcPr>
            <w:tcW w:w="1350" w:type="dxa"/>
            <w:shd w:val="clear" w:color="auto" w:fill="DDD9C3" w:themeFill="background2" w:themeFillShade="E6"/>
            <w:vAlign w:val="center"/>
          </w:tcPr>
          <w:p w:rsidR="00870E8F" w:rsidRPr="00870E8F" w:rsidRDefault="00870E8F" w:rsidP="00B477DE">
            <w:pPr>
              <w:jc w:val="center"/>
              <w:rPr>
                <w:rFonts w:ascii="Arial" w:hAnsi="Arial" w:cs="Arial"/>
                <w:color w:val="000000" w:themeColor="text1"/>
              </w:rPr>
            </w:pPr>
            <w:r w:rsidRPr="00870E8F">
              <w:rPr>
                <w:rFonts w:ascii="Arial" w:hAnsi="Arial" w:cs="Arial"/>
                <w:color w:val="000000" w:themeColor="text1"/>
              </w:rPr>
              <w:t>34%</w:t>
            </w:r>
          </w:p>
        </w:tc>
        <w:tc>
          <w:tcPr>
            <w:tcW w:w="1345" w:type="dxa"/>
            <w:shd w:val="clear" w:color="auto" w:fill="DDD9C3" w:themeFill="background2" w:themeFillShade="E6"/>
            <w:vAlign w:val="center"/>
          </w:tcPr>
          <w:p w:rsidR="00870E8F" w:rsidRPr="00870E8F" w:rsidRDefault="00870E8F" w:rsidP="00B477DE">
            <w:pPr>
              <w:jc w:val="center"/>
              <w:rPr>
                <w:rFonts w:ascii="Arial" w:hAnsi="Arial" w:cs="Arial"/>
                <w:color w:val="000000" w:themeColor="text1"/>
              </w:rPr>
            </w:pPr>
            <w:r w:rsidRPr="00870E8F">
              <w:rPr>
                <w:rFonts w:ascii="Arial" w:hAnsi="Arial" w:cs="Arial"/>
                <w:color w:val="000000" w:themeColor="text1"/>
              </w:rPr>
              <w:t>32%</w:t>
            </w:r>
          </w:p>
        </w:tc>
      </w:tr>
      <w:tr w:rsidR="00870E8F" w:rsidRPr="005F3DC5" w:rsidTr="00B477DE">
        <w:trPr>
          <w:trHeight w:val="432"/>
          <w:jc w:val="center"/>
        </w:trPr>
        <w:tc>
          <w:tcPr>
            <w:tcW w:w="5305" w:type="dxa"/>
            <w:vAlign w:val="center"/>
          </w:tcPr>
          <w:p w:rsidR="00870E8F" w:rsidRPr="005F3DC5" w:rsidRDefault="00870E8F" w:rsidP="00B477DE">
            <w:pPr>
              <w:rPr>
                <w:rFonts w:ascii="Arial" w:hAnsi="Arial" w:cs="Arial"/>
                <w:color w:val="000000" w:themeColor="text1"/>
              </w:rPr>
            </w:pPr>
            <w:r w:rsidRPr="00CB383F">
              <w:rPr>
                <w:rFonts w:ascii="Arial" w:hAnsi="Arial" w:cs="Arial"/>
                <w:b/>
                <w:color w:val="000000" w:themeColor="text1"/>
              </w:rPr>
              <w:t>Grade 3 E</w:t>
            </w:r>
            <w:r w:rsidR="008332E3">
              <w:rPr>
                <w:rFonts w:ascii="Arial" w:hAnsi="Arial" w:cs="Arial"/>
                <w:b/>
                <w:color w:val="000000" w:themeColor="text1"/>
              </w:rPr>
              <w:t xml:space="preserve">nglish </w:t>
            </w:r>
            <w:r w:rsidRPr="00CB383F">
              <w:rPr>
                <w:rFonts w:ascii="Arial" w:hAnsi="Arial" w:cs="Arial"/>
                <w:b/>
                <w:color w:val="000000" w:themeColor="text1"/>
              </w:rPr>
              <w:t>L</w:t>
            </w:r>
            <w:r w:rsidR="008332E3">
              <w:rPr>
                <w:rFonts w:ascii="Arial" w:hAnsi="Arial" w:cs="Arial"/>
                <w:b/>
                <w:color w:val="000000" w:themeColor="text1"/>
              </w:rPr>
              <w:t xml:space="preserve">anguage </w:t>
            </w:r>
            <w:r w:rsidRPr="00CB383F">
              <w:rPr>
                <w:rFonts w:ascii="Arial" w:hAnsi="Arial" w:cs="Arial"/>
                <w:b/>
                <w:color w:val="000000" w:themeColor="text1"/>
              </w:rPr>
              <w:t>A</w:t>
            </w:r>
            <w:r w:rsidR="008332E3">
              <w:rPr>
                <w:rFonts w:ascii="Arial" w:hAnsi="Arial" w:cs="Arial"/>
                <w:b/>
                <w:color w:val="000000" w:themeColor="text1"/>
              </w:rPr>
              <w:t>rts (ELA)</w:t>
            </w:r>
            <w:r w:rsidRPr="00CB383F">
              <w:rPr>
                <w:rFonts w:ascii="Arial" w:hAnsi="Arial" w:cs="Arial"/>
                <w:b/>
                <w:color w:val="000000" w:themeColor="text1"/>
              </w:rPr>
              <w:t xml:space="preserve"> Proficiency:</w:t>
            </w:r>
            <w:r w:rsidRPr="005F3DC5">
              <w:rPr>
                <w:rFonts w:ascii="Arial" w:hAnsi="Arial" w:cs="Arial"/>
                <w:color w:val="000000" w:themeColor="text1"/>
              </w:rPr>
              <w:t xml:space="preserve"> African Americans</w:t>
            </w:r>
          </w:p>
        </w:tc>
        <w:tc>
          <w:tcPr>
            <w:tcW w:w="1350" w:type="dxa"/>
            <w:vAlign w:val="center"/>
          </w:tcPr>
          <w:p w:rsidR="00870E8F" w:rsidRPr="002A5C81" w:rsidRDefault="00870E8F" w:rsidP="00B477DE">
            <w:pPr>
              <w:jc w:val="center"/>
              <w:rPr>
                <w:rFonts w:ascii="Arial" w:hAnsi="Arial" w:cs="Arial"/>
                <w:b/>
                <w:color w:val="000000" w:themeColor="text1"/>
              </w:rPr>
            </w:pPr>
            <w:r w:rsidRPr="002A5C81">
              <w:rPr>
                <w:rFonts w:ascii="Arial" w:hAnsi="Arial" w:cs="Arial"/>
                <w:b/>
                <w:color w:val="000000" w:themeColor="text1"/>
              </w:rPr>
              <w:t>13%</w:t>
            </w:r>
          </w:p>
        </w:tc>
        <w:tc>
          <w:tcPr>
            <w:tcW w:w="1350" w:type="dxa"/>
            <w:vAlign w:val="center"/>
          </w:tcPr>
          <w:p w:rsidR="00870E8F" w:rsidRPr="005F3DC5" w:rsidRDefault="00870E8F" w:rsidP="00B477DE">
            <w:pPr>
              <w:jc w:val="center"/>
              <w:rPr>
                <w:rFonts w:ascii="Arial" w:hAnsi="Arial" w:cs="Arial"/>
                <w:color w:val="000000" w:themeColor="text1"/>
              </w:rPr>
            </w:pPr>
            <w:r w:rsidRPr="005F3DC5">
              <w:rPr>
                <w:rFonts w:ascii="Arial" w:hAnsi="Arial" w:cs="Arial"/>
                <w:color w:val="000000" w:themeColor="text1"/>
              </w:rPr>
              <w:t>31%</w:t>
            </w:r>
          </w:p>
        </w:tc>
        <w:tc>
          <w:tcPr>
            <w:tcW w:w="1345" w:type="dxa"/>
            <w:vAlign w:val="center"/>
          </w:tcPr>
          <w:p w:rsidR="00870E8F" w:rsidRPr="005F3DC5" w:rsidRDefault="00870E8F" w:rsidP="00B477DE">
            <w:pPr>
              <w:jc w:val="center"/>
              <w:rPr>
                <w:rFonts w:ascii="Arial" w:hAnsi="Arial" w:cs="Arial"/>
                <w:color w:val="000000" w:themeColor="text1"/>
              </w:rPr>
            </w:pPr>
            <w:r w:rsidRPr="005F3DC5">
              <w:rPr>
                <w:rFonts w:ascii="Arial" w:hAnsi="Arial" w:cs="Arial"/>
                <w:color w:val="000000" w:themeColor="text1"/>
              </w:rPr>
              <w:t>NA</w:t>
            </w:r>
          </w:p>
        </w:tc>
      </w:tr>
      <w:tr w:rsidR="00870E8F" w:rsidRPr="005F3DC5" w:rsidTr="00B477DE">
        <w:trPr>
          <w:trHeight w:val="432"/>
          <w:jc w:val="center"/>
        </w:trPr>
        <w:tc>
          <w:tcPr>
            <w:tcW w:w="5305" w:type="dxa"/>
            <w:vAlign w:val="center"/>
          </w:tcPr>
          <w:p w:rsidR="00870E8F" w:rsidRPr="005F3DC5" w:rsidRDefault="00870E8F" w:rsidP="00B477DE">
            <w:pPr>
              <w:rPr>
                <w:rFonts w:ascii="Arial" w:hAnsi="Arial" w:cs="Arial"/>
                <w:color w:val="000000" w:themeColor="text1"/>
              </w:rPr>
            </w:pPr>
            <w:r w:rsidRPr="00CB383F">
              <w:rPr>
                <w:rFonts w:ascii="Arial" w:hAnsi="Arial" w:cs="Arial"/>
                <w:b/>
                <w:color w:val="000000" w:themeColor="text1"/>
              </w:rPr>
              <w:t xml:space="preserve">Grade 3 </w:t>
            </w:r>
            <w:r w:rsidR="008332E3" w:rsidRPr="00CB383F">
              <w:rPr>
                <w:rFonts w:ascii="Arial" w:hAnsi="Arial" w:cs="Arial"/>
                <w:b/>
                <w:color w:val="000000" w:themeColor="text1"/>
              </w:rPr>
              <w:t>E</w:t>
            </w:r>
            <w:r w:rsidR="008332E3">
              <w:rPr>
                <w:rFonts w:ascii="Arial" w:hAnsi="Arial" w:cs="Arial"/>
                <w:b/>
                <w:color w:val="000000" w:themeColor="text1"/>
              </w:rPr>
              <w:t xml:space="preserve">nglish </w:t>
            </w:r>
            <w:r w:rsidR="008332E3" w:rsidRPr="00CB383F">
              <w:rPr>
                <w:rFonts w:ascii="Arial" w:hAnsi="Arial" w:cs="Arial"/>
                <w:b/>
                <w:color w:val="000000" w:themeColor="text1"/>
              </w:rPr>
              <w:t>L</w:t>
            </w:r>
            <w:r w:rsidR="008332E3">
              <w:rPr>
                <w:rFonts w:ascii="Arial" w:hAnsi="Arial" w:cs="Arial"/>
                <w:b/>
                <w:color w:val="000000" w:themeColor="text1"/>
              </w:rPr>
              <w:t xml:space="preserve">anguage </w:t>
            </w:r>
            <w:r w:rsidR="008332E3" w:rsidRPr="00CB383F">
              <w:rPr>
                <w:rFonts w:ascii="Arial" w:hAnsi="Arial" w:cs="Arial"/>
                <w:b/>
                <w:color w:val="000000" w:themeColor="text1"/>
              </w:rPr>
              <w:t>A</w:t>
            </w:r>
            <w:r w:rsidR="008332E3">
              <w:rPr>
                <w:rFonts w:ascii="Arial" w:hAnsi="Arial" w:cs="Arial"/>
                <w:b/>
                <w:color w:val="000000" w:themeColor="text1"/>
              </w:rPr>
              <w:t>rts (ELA)</w:t>
            </w:r>
            <w:r w:rsidR="008332E3" w:rsidRPr="00CB383F">
              <w:rPr>
                <w:rFonts w:ascii="Arial" w:hAnsi="Arial" w:cs="Arial"/>
                <w:b/>
                <w:color w:val="000000" w:themeColor="text1"/>
              </w:rPr>
              <w:t xml:space="preserve"> </w:t>
            </w:r>
            <w:r w:rsidRPr="00CB383F">
              <w:rPr>
                <w:rFonts w:ascii="Arial" w:hAnsi="Arial" w:cs="Arial"/>
                <w:b/>
                <w:color w:val="000000" w:themeColor="text1"/>
              </w:rPr>
              <w:t xml:space="preserve"> Proficiency:</w:t>
            </w:r>
            <w:r w:rsidRPr="005F3DC5">
              <w:rPr>
                <w:rFonts w:ascii="Arial" w:hAnsi="Arial" w:cs="Arial"/>
                <w:color w:val="000000" w:themeColor="text1"/>
              </w:rPr>
              <w:t xml:space="preserve"> Latinos</w:t>
            </w:r>
          </w:p>
        </w:tc>
        <w:tc>
          <w:tcPr>
            <w:tcW w:w="1350" w:type="dxa"/>
            <w:vAlign w:val="center"/>
          </w:tcPr>
          <w:p w:rsidR="00870E8F" w:rsidRPr="002A5C81" w:rsidRDefault="00870E8F" w:rsidP="00B477DE">
            <w:pPr>
              <w:jc w:val="center"/>
              <w:rPr>
                <w:rFonts w:ascii="Arial" w:hAnsi="Arial" w:cs="Arial"/>
                <w:b/>
                <w:color w:val="000000" w:themeColor="text1"/>
              </w:rPr>
            </w:pPr>
            <w:r w:rsidRPr="002A5C81">
              <w:rPr>
                <w:rFonts w:ascii="Arial" w:hAnsi="Arial" w:cs="Arial"/>
                <w:b/>
                <w:color w:val="000000" w:themeColor="text1"/>
              </w:rPr>
              <w:t>19%</w:t>
            </w:r>
          </w:p>
        </w:tc>
        <w:tc>
          <w:tcPr>
            <w:tcW w:w="1350" w:type="dxa"/>
            <w:vAlign w:val="center"/>
          </w:tcPr>
          <w:p w:rsidR="00870E8F" w:rsidRPr="005F3DC5" w:rsidRDefault="00870E8F" w:rsidP="00B477DE">
            <w:pPr>
              <w:jc w:val="center"/>
              <w:rPr>
                <w:rFonts w:ascii="Arial" w:hAnsi="Arial" w:cs="Arial"/>
                <w:color w:val="000000" w:themeColor="text1"/>
              </w:rPr>
            </w:pPr>
            <w:r w:rsidRPr="005F3DC5">
              <w:rPr>
                <w:rFonts w:ascii="Arial" w:hAnsi="Arial" w:cs="Arial"/>
                <w:color w:val="000000" w:themeColor="text1"/>
              </w:rPr>
              <w:t>30%</w:t>
            </w:r>
          </w:p>
        </w:tc>
        <w:tc>
          <w:tcPr>
            <w:tcW w:w="1345" w:type="dxa"/>
            <w:vAlign w:val="center"/>
          </w:tcPr>
          <w:p w:rsidR="00870E8F" w:rsidRPr="005F3DC5" w:rsidRDefault="00870E8F" w:rsidP="00B477DE">
            <w:pPr>
              <w:jc w:val="center"/>
              <w:rPr>
                <w:rFonts w:ascii="Arial" w:hAnsi="Arial" w:cs="Arial"/>
              </w:rPr>
            </w:pPr>
            <w:r w:rsidRPr="005F3DC5">
              <w:rPr>
                <w:rFonts w:ascii="Arial" w:hAnsi="Arial" w:cs="Arial"/>
                <w:color w:val="000000" w:themeColor="text1"/>
              </w:rPr>
              <w:t>NA</w:t>
            </w:r>
          </w:p>
        </w:tc>
      </w:tr>
      <w:tr w:rsidR="00870E8F" w:rsidRPr="005F3DC5" w:rsidTr="00870E8F">
        <w:trPr>
          <w:trHeight w:val="432"/>
          <w:jc w:val="center"/>
        </w:trPr>
        <w:tc>
          <w:tcPr>
            <w:tcW w:w="5305" w:type="dxa"/>
            <w:shd w:val="clear" w:color="auto" w:fill="DDD9C3" w:themeFill="background2" w:themeFillShade="E6"/>
            <w:vAlign w:val="center"/>
          </w:tcPr>
          <w:p w:rsidR="00870E8F" w:rsidRPr="005F3DC5" w:rsidRDefault="00870E8F" w:rsidP="00B477DE">
            <w:pPr>
              <w:rPr>
                <w:rFonts w:ascii="Arial" w:hAnsi="Arial" w:cs="Arial"/>
                <w:color w:val="000000" w:themeColor="text1"/>
              </w:rPr>
            </w:pPr>
            <w:r w:rsidRPr="00CB383F">
              <w:rPr>
                <w:rFonts w:ascii="Arial" w:hAnsi="Arial" w:cs="Arial"/>
                <w:b/>
                <w:color w:val="000000" w:themeColor="text1"/>
              </w:rPr>
              <w:t>Grade 8 Math Proficiency:</w:t>
            </w:r>
            <w:r w:rsidRPr="005F3DC5">
              <w:rPr>
                <w:rFonts w:ascii="Arial" w:hAnsi="Arial" w:cs="Arial"/>
                <w:color w:val="000000" w:themeColor="text1"/>
              </w:rPr>
              <w:t xml:space="preserve"> African Americans</w:t>
            </w:r>
          </w:p>
        </w:tc>
        <w:tc>
          <w:tcPr>
            <w:tcW w:w="1350" w:type="dxa"/>
            <w:shd w:val="clear" w:color="auto" w:fill="DDD9C3" w:themeFill="background2" w:themeFillShade="E6"/>
            <w:vAlign w:val="center"/>
          </w:tcPr>
          <w:p w:rsidR="00870E8F" w:rsidRPr="002A5C81" w:rsidRDefault="00870E8F" w:rsidP="00B477DE">
            <w:pPr>
              <w:jc w:val="center"/>
              <w:rPr>
                <w:rFonts w:ascii="Arial" w:hAnsi="Arial" w:cs="Arial"/>
                <w:b/>
                <w:color w:val="000000" w:themeColor="text1"/>
              </w:rPr>
            </w:pPr>
            <w:r w:rsidRPr="002A5C81">
              <w:rPr>
                <w:rFonts w:ascii="Arial" w:hAnsi="Arial" w:cs="Arial"/>
                <w:b/>
                <w:color w:val="000000" w:themeColor="text1"/>
              </w:rPr>
              <w:t>4%</w:t>
            </w:r>
          </w:p>
        </w:tc>
        <w:tc>
          <w:tcPr>
            <w:tcW w:w="1350" w:type="dxa"/>
            <w:shd w:val="clear" w:color="auto" w:fill="DDD9C3" w:themeFill="background2" w:themeFillShade="E6"/>
            <w:vAlign w:val="center"/>
          </w:tcPr>
          <w:p w:rsidR="00870E8F" w:rsidRPr="005F3DC5" w:rsidRDefault="00870E8F" w:rsidP="00B477DE">
            <w:pPr>
              <w:jc w:val="center"/>
              <w:rPr>
                <w:rFonts w:ascii="Arial" w:hAnsi="Arial" w:cs="Arial"/>
                <w:color w:val="000000" w:themeColor="text1"/>
              </w:rPr>
            </w:pPr>
            <w:r w:rsidRPr="005F3DC5">
              <w:rPr>
                <w:rFonts w:ascii="Arial" w:hAnsi="Arial" w:cs="Arial"/>
                <w:color w:val="000000" w:themeColor="text1"/>
              </w:rPr>
              <w:t>14%</w:t>
            </w:r>
          </w:p>
        </w:tc>
        <w:tc>
          <w:tcPr>
            <w:tcW w:w="1345" w:type="dxa"/>
            <w:shd w:val="clear" w:color="auto" w:fill="DDD9C3" w:themeFill="background2" w:themeFillShade="E6"/>
            <w:vAlign w:val="center"/>
          </w:tcPr>
          <w:p w:rsidR="00870E8F" w:rsidRPr="005F3DC5" w:rsidRDefault="00870E8F" w:rsidP="00B477DE">
            <w:pPr>
              <w:jc w:val="center"/>
              <w:rPr>
                <w:rFonts w:ascii="Arial" w:hAnsi="Arial" w:cs="Arial"/>
              </w:rPr>
            </w:pPr>
            <w:r w:rsidRPr="005F3DC5">
              <w:rPr>
                <w:rFonts w:ascii="Arial" w:hAnsi="Arial" w:cs="Arial"/>
                <w:color w:val="000000" w:themeColor="text1"/>
              </w:rPr>
              <w:t>NA</w:t>
            </w:r>
          </w:p>
        </w:tc>
      </w:tr>
      <w:tr w:rsidR="00870E8F" w:rsidRPr="005F3DC5" w:rsidTr="00870E8F">
        <w:trPr>
          <w:trHeight w:val="432"/>
          <w:jc w:val="center"/>
        </w:trPr>
        <w:tc>
          <w:tcPr>
            <w:tcW w:w="5305" w:type="dxa"/>
            <w:shd w:val="clear" w:color="auto" w:fill="DDD9C3" w:themeFill="background2" w:themeFillShade="E6"/>
            <w:vAlign w:val="center"/>
          </w:tcPr>
          <w:p w:rsidR="00870E8F" w:rsidRPr="005F3DC5" w:rsidRDefault="00870E8F" w:rsidP="00B477DE">
            <w:pPr>
              <w:rPr>
                <w:rFonts w:ascii="Arial" w:hAnsi="Arial" w:cs="Arial"/>
                <w:color w:val="000000" w:themeColor="text1"/>
              </w:rPr>
            </w:pPr>
            <w:r w:rsidRPr="00CB383F">
              <w:rPr>
                <w:rFonts w:ascii="Arial" w:hAnsi="Arial" w:cs="Arial"/>
                <w:b/>
                <w:color w:val="000000" w:themeColor="text1"/>
              </w:rPr>
              <w:t>Grade 8 Math Proficiency:</w:t>
            </w:r>
            <w:r w:rsidRPr="005F3DC5">
              <w:rPr>
                <w:rFonts w:ascii="Arial" w:hAnsi="Arial" w:cs="Arial"/>
                <w:color w:val="000000" w:themeColor="text1"/>
              </w:rPr>
              <w:t xml:space="preserve"> Latinos</w:t>
            </w:r>
          </w:p>
        </w:tc>
        <w:tc>
          <w:tcPr>
            <w:tcW w:w="1350" w:type="dxa"/>
            <w:shd w:val="clear" w:color="auto" w:fill="DDD9C3" w:themeFill="background2" w:themeFillShade="E6"/>
            <w:vAlign w:val="center"/>
          </w:tcPr>
          <w:p w:rsidR="00870E8F" w:rsidRPr="002A5C81" w:rsidRDefault="00870E8F" w:rsidP="00B477DE">
            <w:pPr>
              <w:jc w:val="center"/>
              <w:rPr>
                <w:rFonts w:ascii="Arial" w:hAnsi="Arial" w:cs="Arial"/>
                <w:b/>
                <w:color w:val="000000" w:themeColor="text1"/>
              </w:rPr>
            </w:pPr>
            <w:r w:rsidRPr="002A5C81">
              <w:rPr>
                <w:rFonts w:ascii="Arial" w:hAnsi="Arial" w:cs="Arial"/>
                <w:b/>
                <w:color w:val="000000" w:themeColor="text1"/>
              </w:rPr>
              <w:t>5%</w:t>
            </w:r>
          </w:p>
        </w:tc>
        <w:tc>
          <w:tcPr>
            <w:tcW w:w="1350" w:type="dxa"/>
            <w:shd w:val="clear" w:color="auto" w:fill="DDD9C3" w:themeFill="background2" w:themeFillShade="E6"/>
            <w:vAlign w:val="center"/>
          </w:tcPr>
          <w:p w:rsidR="00870E8F" w:rsidRPr="005F3DC5" w:rsidRDefault="00870E8F" w:rsidP="00B477DE">
            <w:pPr>
              <w:jc w:val="center"/>
              <w:rPr>
                <w:rFonts w:ascii="Arial" w:hAnsi="Arial" w:cs="Arial"/>
                <w:color w:val="000000" w:themeColor="text1"/>
              </w:rPr>
            </w:pPr>
            <w:r w:rsidRPr="005F3DC5">
              <w:rPr>
                <w:rFonts w:ascii="Arial" w:hAnsi="Arial" w:cs="Arial"/>
                <w:color w:val="000000" w:themeColor="text1"/>
              </w:rPr>
              <w:t>16%</w:t>
            </w:r>
          </w:p>
        </w:tc>
        <w:tc>
          <w:tcPr>
            <w:tcW w:w="1345" w:type="dxa"/>
            <w:shd w:val="clear" w:color="auto" w:fill="DDD9C3" w:themeFill="background2" w:themeFillShade="E6"/>
            <w:vAlign w:val="center"/>
          </w:tcPr>
          <w:p w:rsidR="00870E8F" w:rsidRPr="005F3DC5" w:rsidRDefault="00870E8F" w:rsidP="00B477DE">
            <w:pPr>
              <w:jc w:val="center"/>
              <w:rPr>
                <w:rFonts w:ascii="Arial" w:hAnsi="Arial" w:cs="Arial"/>
              </w:rPr>
            </w:pPr>
            <w:r w:rsidRPr="005F3DC5">
              <w:rPr>
                <w:rFonts w:ascii="Arial" w:hAnsi="Arial" w:cs="Arial"/>
                <w:color w:val="000000" w:themeColor="text1"/>
              </w:rPr>
              <w:t>NA</w:t>
            </w:r>
          </w:p>
        </w:tc>
      </w:tr>
      <w:tr w:rsidR="00870E8F" w:rsidRPr="005F3DC5" w:rsidTr="00B477DE">
        <w:trPr>
          <w:trHeight w:val="432"/>
          <w:jc w:val="center"/>
        </w:trPr>
        <w:tc>
          <w:tcPr>
            <w:tcW w:w="5305" w:type="dxa"/>
            <w:vAlign w:val="center"/>
          </w:tcPr>
          <w:p w:rsidR="00870E8F" w:rsidRPr="005F3DC5" w:rsidRDefault="00870E8F" w:rsidP="00B477DE">
            <w:pPr>
              <w:rPr>
                <w:rFonts w:ascii="Arial" w:hAnsi="Arial" w:cs="Arial"/>
                <w:color w:val="000000" w:themeColor="text1"/>
              </w:rPr>
            </w:pPr>
            <w:r w:rsidRPr="00CB383F">
              <w:rPr>
                <w:rFonts w:ascii="Arial" w:hAnsi="Arial" w:cs="Arial"/>
                <w:b/>
                <w:color w:val="000000" w:themeColor="text1"/>
              </w:rPr>
              <w:t>Median Household Income:</w:t>
            </w:r>
            <w:r w:rsidRPr="005F3DC5">
              <w:rPr>
                <w:rFonts w:ascii="Arial" w:hAnsi="Arial" w:cs="Arial"/>
                <w:color w:val="000000" w:themeColor="text1"/>
              </w:rPr>
              <w:t xml:space="preserve"> African Americans</w:t>
            </w:r>
          </w:p>
        </w:tc>
        <w:tc>
          <w:tcPr>
            <w:tcW w:w="1350" w:type="dxa"/>
            <w:vAlign w:val="center"/>
          </w:tcPr>
          <w:p w:rsidR="00870E8F" w:rsidRPr="002A5C81" w:rsidRDefault="00870E8F" w:rsidP="00B477DE">
            <w:pPr>
              <w:jc w:val="center"/>
              <w:rPr>
                <w:rFonts w:ascii="Arial" w:hAnsi="Arial" w:cs="Arial"/>
                <w:b/>
                <w:color w:val="000000" w:themeColor="text1"/>
              </w:rPr>
            </w:pPr>
            <w:r w:rsidRPr="002A5C81">
              <w:rPr>
                <w:rFonts w:ascii="Arial" w:hAnsi="Arial" w:cs="Arial"/>
                <w:b/>
                <w:color w:val="000000" w:themeColor="text1"/>
              </w:rPr>
              <w:t>$27,078</w:t>
            </w:r>
          </w:p>
        </w:tc>
        <w:tc>
          <w:tcPr>
            <w:tcW w:w="1350" w:type="dxa"/>
            <w:vAlign w:val="center"/>
          </w:tcPr>
          <w:p w:rsidR="00870E8F" w:rsidRPr="005F3DC5" w:rsidRDefault="00870E8F" w:rsidP="00B477DE">
            <w:pPr>
              <w:jc w:val="center"/>
              <w:rPr>
                <w:rFonts w:ascii="Arial" w:hAnsi="Arial" w:cs="Arial"/>
                <w:color w:val="000000" w:themeColor="text1"/>
              </w:rPr>
            </w:pPr>
            <w:r w:rsidRPr="005F3DC5">
              <w:rPr>
                <w:rFonts w:ascii="Arial" w:hAnsi="Arial" w:cs="Arial"/>
                <w:color w:val="000000" w:themeColor="text1"/>
              </w:rPr>
              <w:t>$41,615</w:t>
            </w:r>
          </w:p>
        </w:tc>
        <w:tc>
          <w:tcPr>
            <w:tcW w:w="1345" w:type="dxa"/>
            <w:vAlign w:val="center"/>
          </w:tcPr>
          <w:p w:rsidR="00870E8F" w:rsidRPr="005F3DC5" w:rsidRDefault="00870E8F" w:rsidP="00B477DE">
            <w:pPr>
              <w:jc w:val="center"/>
              <w:rPr>
                <w:rFonts w:ascii="Arial" w:hAnsi="Arial" w:cs="Arial"/>
                <w:color w:val="000000" w:themeColor="text1"/>
              </w:rPr>
            </w:pPr>
            <w:r w:rsidRPr="005F3DC5">
              <w:rPr>
                <w:rFonts w:ascii="Arial" w:hAnsi="Arial" w:cs="Arial"/>
                <w:color w:val="000000" w:themeColor="text1"/>
              </w:rPr>
              <w:t>$35,695</w:t>
            </w:r>
          </w:p>
        </w:tc>
      </w:tr>
      <w:tr w:rsidR="00870E8F" w:rsidRPr="005F3DC5" w:rsidTr="00B477DE">
        <w:trPr>
          <w:trHeight w:val="432"/>
          <w:jc w:val="center"/>
        </w:trPr>
        <w:tc>
          <w:tcPr>
            <w:tcW w:w="5305" w:type="dxa"/>
            <w:vAlign w:val="center"/>
          </w:tcPr>
          <w:p w:rsidR="00870E8F" w:rsidRPr="005F3DC5" w:rsidRDefault="00870E8F" w:rsidP="00B477DE">
            <w:pPr>
              <w:jc w:val="both"/>
              <w:rPr>
                <w:rFonts w:ascii="Arial" w:hAnsi="Arial" w:cs="Arial"/>
                <w:color w:val="000000" w:themeColor="text1"/>
              </w:rPr>
            </w:pPr>
            <w:r w:rsidRPr="00CB383F">
              <w:rPr>
                <w:rFonts w:ascii="Arial" w:hAnsi="Arial" w:cs="Arial"/>
                <w:b/>
                <w:color w:val="000000" w:themeColor="text1"/>
              </w:rPr>
              <w:t>Median Household Income:</w:t>
            </w:r>
            <w:r w:rsidRPr="005F3DC5">
              <w:rPr>
                <w:rFonts w:ascii="Arial" w:hAnsi="Arial" w:cs="Arial"/>
                <w:color w:val="000000" w:themeColor="text1"/>
              </w:rPr>
              <w:t xml:space="preserve"> Latinos</w:t>
            </w:r>
          </w:p>
        </w:tc>
        <w:tc>
          <w:tcPr>
            <w:tcW w:w="1350" w:type="dxa"/>
            <w:vAlign w:val="center"/>
          </w:tcPr>
          <w:p w:rsidR="00870E8F" w:rsidRPr="002A5C81" w:rsidRDefault="00870E8F" w:rsidP="00B477DE">
            <w:pPr>
              <w:jc w:val="center"/>
              <w:rPr>
                <w:rFonts w:ascii="Arial" w:hAnsi="Arial" w:cs="Arial"/>
                <w:b/>
                <w:color w:val="000000" w:themeColor="text1"/>
              </w:rPr>
            </w:pPr>
            <w:r w:rsidRPr="002A5C81">
              <w:rPr>
                <w:rFonts w:ascii="Arial" w:hAnsi="Arial" w:cs="Arial"/>
                <w:b/>
                <w:color w:val="000000" w:themeColor="text1"/>
              </w:rPr>
              <w:t>$29,991</w:t>
            </w:r>
          </w:p>
        </w:tc>
        <w:tc>
          <w:tcPr>
            <w:tcW w:w="1350" w:type="dxa"/>
            <w:vAlign w:val="center"/>
          </w:tcPr>
          <w:p w:rsidR="00870E8F" w:rsidRPr="005F3DC5" w:rsidRDefault="00870E8F" w:rsidP="00B477DE">
            <w:pPr>
              <w:jc w:val="center"/>
              <w:rPr>
                <w:rFonts w:ascii="Arial" w:hAnsi="Arial" w:cs="Arial"/>
                <w:color w:val="000000" w:themeColor="text1"/>
              </w:rPr>
            </w:pPr>
            <w:r w:rsidRPr="005F3DC5">
              <w:rPr>
                <w:rFonts w:ascii="Arial" w:hAnsi="Arial" w:cs="Arial"/>
                <w:color w:val="000000" w:themeColor="text1"/>
              </w:rPr>
              <w:t>$40,824</w:t>
            </w:r>
          </w:p>
        </w:tc>
        <w:tc>
          <w:tcPr>
            <w:tcW w:w="1345" w:type="dxa"/>
            <w:vAlign w:val="center"/>
          </w:tcPr>
          <w:p w:rsidR="00870E8F" w:rsidRPr="005F3DC5" w:rsidRDefault="00870E8F" w:rsidP="00B477DE">
            <w:pPr>
              <w:jc w:val="center"/>
              <w:rPr>
                <w:rFonts w:ascii="Arial" w:hAnsi="Arial" w:cs="Arial"/>
                <w:color w:val="000000" w:themeColor="text1"/>
              </w:rPr>
            </w:pPr>
            <w:r w:rsidRPr="005F3DC5">
              <w:rPr>
                <w:rFonts w:ascii="Arial" w:hAnsi="Arial" w:cs="Arial"/>
                <w:color w:val="000000" w:themeColor="text1"/>
              </w:rPr>
              <w:t>$42,651</w:t>
            </w:r>
          </w:p>
        </w:tc>
      </w:tr>
      <w:tr w:rsidR="00870E8F" w:rsidRPr="005F3DC5" w:rsidTr="00870E8F">
        <w:trPr>
          <w:trHeight w:val="432"/>
          <w:jc w:val="center"/>
        </w:trPr>
        <w:tc>
          <w:tcPr>
            <w:tcW w:w="5305" w:type="dxa"/>
            <w:shd w:val="clear" w:color="auto" w:fill="DDD9C3" w:themeFill="background2" w:themeFillShade="E6"/>
            <w:vAlign w:val="center"/>
          </w:tcPr>
          <w:p w:rsidR="00870E8F" w:rsidRPr="005F3DC5" w:rsidRDefault="00870E8F" w:rsidP="00B477DE">
            <w:pPr>
              <w:rPr>
                <w:rFonts w:ascii="Arial" w:hAnsi="Arial" w:cs="Arial"/>
                <w:color w:val="000000" w:themeColor="text1"/>
              </w:rPr>
            </w:pPr>
            <w:r w:rsidRPr="00CB383F">
              <w:rPr>
                <w:rFonts w:ascii="Arial" w:hAnsi="Arial" w:cs="Arial"/>
                <w:b/>
                <w:color w:val="000000" w:themeColor="text1"/>
              </w:rPr>
              <w:t>Poverty Rate:</w:t>
            </w:r>
            <w:r w:rsidRPr="005F3DC5">
              <w:rPr>
                <w:rFonts w:ascii="Arial" w:hAnsi="Arial" w:cs="Arial"/>
                <w:color w:val="000000" w:themeColor="text1"/>
              </w:rPr>
              <w:t xml:space="preserve"> African Americans</w:t>
            </w:r>
          </w:p>
        </w:tc>
        <w:tc>
          <w:tcPr>
            <w:tcW w:w="1350" w:type="dxa"/>
            <w:shd w:val="clear" w:color="auto" w:fill="DDD9C3" w:themeFill="background2" w:themeFillShade="E6"/>
            <w:vAlign w:val="center"/>
          </w:tcPr>
          <w:p w:rsidR="00870E8F" w:rsidRPr="002A5C81" w:rsidRDefault="00870E8F" w:rsidP="00B477DE">
            <w:pPr>
              <w:jc w:val="center"/>
              <w:rPr>
                <w:rFonts w:ascii="Arial" w:hAnsi="Arial" w:cs="Arial"/>
                <w:b/>
                <w:color w:val="000000" w:themeColor="text1"/>
              </w:rPr>
            </w:pPr>
            <w:r w:rsidRPr="002A5C81">
              <w:rPr>
                <w:rFonts w:ascii="Arial" w:hAnsi="Arial" w:cs="Arial"/>
                <w:b/>
                <w:color w:val="000000" w:themeColor="text1"/>
              </w:rPr>
              <w:t>36%</w:t>
            </w:r>
          </w:p>
        </w:tc>
        <w:tc>
          <w:tcPr>
            <w:tcW w:w="1350" w:type="dxa"/>
            <w:shd w:val="clear" w:color="auto" w:fill="DDD9C3" w:themeFill="background2" w:themeFillShade="E6"/>
            <w:vAlign w:val="center"/>
          </w:tcPr>
          <w:p w:rsidR="00870E8F" w:rsidRPr="005F3DC5" w:rsidRDefault="00870E8F" w:rsidP="00B477DE">
            <w:pPr>
              <w:jc w:val="center"/>
              <w:rPr>
                <w:rFonts w:ascii="Arial" w:hAnsi="Arial" w:cs="Arial"/>
                <w:color w:val="000000" w:themeColor="text1"/>
              </w:rPr>
            </w:pPr>
            <w:r w:rsidRPr="005F3DC5">
              <w:rPr>
                <w:rFonts w:ascii="Arial" w:hAnsi="Arial" w:cs="Arial"/>
                <w:color w:val="000000" w:themeColor="text1"/>
              </w:rPr>
              <w:t>23%</w:t>
            </w:r>
          </w:p>
        </w:tc>
        <w:tc>
          <w:tcPr>
            <w:tcW w:w="1345" w:type="dxa"/>
            <w:shd w:val="clear" w:color="auto" w:fill="DDD9C3" w:themeFill="background2" w:themeFillShade="E6"/>
            <w:vAlign w:val="center"/>
          </w:tcPr>
          <w:p w:rsidR="00870E8F" w:rsidRPr="005F3DC5" w:rsidRDefault="00870E8F" w:rsidP="00B477DE">
            <w:pPr>
              <w:jc w:val="center"/>
              <w:rPr>
                <w:rFonts w:ascii="Arial" w:hAnsi="Arial" w:cs="Arial"/>
                <w:color w:val="000000" w:themeColor="text1"/>
              </w:rPr>
            </w:pPr>
            <w:r w:rsidRPr="005F3DC5">
              <w:rPr>
                <w:rFonts w:ascii="Arial" w:hAnsi="Arial" w:cs="Arial"/>
                <w:color w:val="000000" w:themeColor="text1"/>
              </w:rPr>
              <w:t>27%</w:t>
            </w:r>
          </w:p>
        </w:tc>
      </w:tr>
      <w:tr w:rsidR="00870E8F" w:rsidRPr="005F3DC5" w:rsidTr="00870E8F">
        <w:trPr>
          <w:trHeight w:val="432"/>
          <w:jc w:val="center"/>
        </w:trPr>
        <w:tc>
          <w:tcPr>
            <w:tcW w:w="5305" w:type="dxa"/>
            <w:shd w:val="clear" w:color="auto" w:fill="DDD9C3" w:themeFill="background2" w:themeFillShade="E6"/>
            <w:vAlign w:val="center"/>
          </w:tcPr>
          <w:p w:rsidR="00870E8F" w:rsidRPr="005F3DC5" w:rsidRDefault="00870E8F" w:rsidP="00B477DE">
            <w:pPr>
              <w:rPr>
                <w:rFonts w:ascii="Arial" w:hAnsi="Arial" w:cs="Arial"/>
                <w:color w:val="000000" w:themeColor="text1"/>
              </w:rPr>
            </w:pPr>
            <w:r w:rsidRPr="00CB383F">
              <w:rPr>
                <w:rFonts w:ascii="Arial" w:hAnsi="Arial" w:cs="Arial"/>
                <w:b/>
                <w:color w:val="000000" w:themeColor="text1"/>
              </w:rPr>
              <w:t>Poverty Rate:</w:t>
            </w:r>
            <w:r w:rsidRPr="005F3DC5">
              <w:rPr>
                <w:rFonts w:ascii="Arial" w:hAnsi="Arial" w:cs="Arial"/>
                <w:color w:val="000000" w:themeColor="text1"/>
              </w:rPr>
              <w:t xml:space="preserve"> Latinos</w:t>
            </w:r>
          </w:p>
        </w:tc>
        <w:tc>
          <w:tcPr>
            <w:tcW w:w="1350" w:type="dxa"/>
            <w:shd w:val="clear" w:color="auto" w:fill="DDD9C3" w:themeFill="background2" w:themeFillShade="E6"/>
            <w:vAlign w:val="center"/>
          </w:tcPr>
          <w:p w:rsidR="00870E8F" w:rsidRPr="002A5C81" w:rsidRDefault="00870E8F" w:rsidP="00B477DE">
            <w:pPr>
              <w:jc w:val="center"/>
              <w:rPr>
                <w:rFonts w:ascii="Arial" w:hAnsi="Arial" w:cs="Arial"/>
                <w:b/>
                <w:color w:val="000000" w:themeColor="text1"/>
              </w:rPr>
            </w:pPr>
            <w:r w:rsidRPr="002A5C81">
              <w:rPr>
                <w:rFonts w:ascii="Arial" w:hAnsi="Arial" w:cs="Arial"/>
                <w:b/>
                <w:color w:val="000000" w:themeColor="text1"/>
              </w:rPr>
              <w:t>34%</w:t>
            </w:r>
          </w:p>
        </w:tc>
        <w:tc>
          <w:tcPr>
            <w:tcW w:w="1350" w:type="dxa"/>
            <w:shd w:val="clear" w:color="auto" w:fill="DDD9C3" w:themeFill="background2" w:themeFillShade="E6"/>
            <w:vAlign w:val="center"/>
          </w:tcPr>
          <w:p w:rsidR="00870E8F" w:rsidRPr="005F3DC5" w:rsidRDefault="00870E8F" w:rsidP="00B477DE">
            <w:pPr>
              <w:jc w:val="center"/>
              <w:rPr>
                <w:rFonts w:ascii="Arial" w:hAnsi="Arial" w:cs="Arial"/>
                <w:color w:val="000000" w:themeColor="text1"/>
              </w:rPr>
            </w:pPr>
            <w:r w:rsidRPr="005F3DC5">
              <w:rPr>
                <w:rFonts w:ascii="Arial" w:hAnsi="Arial" w:cs="Arial"/>
                <w:color w:val="000000" w:themeColor="text1"/>
              </w:rPr>
              <w:t>26%</w:t>
            </w:r>
          </w:p>
        </w:tc>
        <w:tc>
          <w:tcPr>
            <w:tcW w:w="1345" w:type="dxa"/>
            <w:shd w:val="clear" w:color="auto" w:fill="DDD9C3" w:themeFill="background2" w:themeFillShade="E6"/>
            <w:vAlign w:val="center"/>
          </w:tcPr>
          <w:p w:rsidR="00870E8F" w:rsidRPr="005F3DC5" w:rsidRDefault="00870E8F" w:rsidP="00B477DE">
            <w:pPr>
              <w:jc w:val="center"/>
              <w:rPr>
                <w:rFonts w:ascii="Arial" w:hAnsi="Arial" w:cs="Arial"/>
                <w:color w:val="000000" w:themeColor="text1"/>
              </w:rPr>
            </w:pPr>
            <w:r w:rsidRPr="005F3DC5">
              <w:rPr>
                <w:rFonts w:ascii="Arial" w:hAnsi="Arial" w:cs="Arial"/>
                <w:color w:val="000000" w:themeColor="text1"/>
              </w:rPr>
              <w:t>24%</w:t>
            </w:r>
          </w:p>
        </w:tc>
      </w:tr>
      <w:tr w:rsidR="00870E8F" w:rsidRPr="005F3DC5" w:rsidTr="00B477DE">
        <w:trPr>
          <w:trHeight w:val="432"/>
          <w:jc w:val="center"/>
        </w:trPr>
        <w:tc>
          <w:tcPr>
            <w:tcW w:w="5305" w:type="dxa"/>
            <w:vAlign w:val="center"/>
          </w:tcPr>
          <w:p w:rsidR="00870E8F" w:rsidRPr="005F3DC5" w:rsidRDefault="00870E8F" w:rsidP="00B477DE">
            <w:pPr>
              <w:rPr>
                <w:rFonts w:ascii="Arial" w:hAnsi="Arial" w:cs="Arial"/>
                <w:color w:val="000000" w:themeColor="text1"/>
              </w:rPr>
            </w:pPr>
            <w:r w:rsidRPr="00CB383F">
              <w:rPr>
                <w:rFonts w:ascii="Arial" w:hAnsi="Arial" w:cs="Arial"/>
                <w:b/>
                <w:color w:val="000000" w:themeColor="text1"/>
              </w:rPr>
              <w:t>Homeownership Rates:</w:t>
            </w:r>
            <w:r w:rsidRPr="005F3DC5">
              <w:rPr>
                <w:rFonts w:ascii="Arial" w:hAnsi="Arial" w:cs="Arial"/>
                <w:color w:val="000000" w:themeColor="text1"/>
              </w:rPr>
              <w:t xml:space="preserve"> African Americans</w:t>
            </w:r>
          </w:p>
        </w:tc>
        <w:tc>
          <w:tcPr>
            <w:tcW w:w="1350" w:type="dxa"/>
            <w:vAlign w:val="center"/>
          </w:tcPr>
          <w:p w:rsidR="00870E8F" w:rsidRPr="002A5C81" w:rsidRDefault="00870E8F" w:rsidP="00B477DE">
            <w:pPr>
              <w:jc w:val="center"/>
              <w:rPr>
                <w:rFonts w:ascii="Arial" w:hAnsi="Arial" w:cs="Arial"/>
                <w:b/>
                <w:color w:val="000000" w:themeColor="text1"/>
              </w:rPr>
            </w:pPr>
            <w:r w:rsidRPr="002A5C81">
              <w:rPr>
                <w:rFonts w:ascii="Arial" w:hAnsi="Arial" w:cs="Arial"/>
                <w:b/>
                <w:color w:val="000000" w:themeColor="text1"/>
              </w:rPr>
              <w:t>33%</w:t>
            </w:r>
          </w:p>
        </w:tc>
        <w:tc>
          <w:tcPr>
            <w:tcW w:w="1350" w:type="dxa"/>
            <w:vAlign w:val="center"/>
          </w:tcPr>
          <w:p w:rsidR="00870E8F" w:rsidRPr="005F3DC5" w:rsidRDefault="00870E8F" w:rsidP="00B477DE">
            <w:pPr>
              <w:jc w:val="center"/>
              <w:rPr>
                <w:rFonts w:ascii="Arial" w:hAnsi="Arial" w:cs="Arial"/>
                <w:color w:val="000000" w:themeColor="text1"/>
              </w:rPr>
            </w:pPr>
            <w:r w:rsidRPr="005F3DC5">
              <w:rPr>
                <w:rFonts w:ascii="Arial" w:hAnsi="Arial" w:cs="Arial"/>
                <w:color w:val="000000" w:themeColor="text1"/>
              </w:rPr>
              <w:t>31%</w:t>
            </w:r>
          </w:p>
        </w:tc>
        <w:tc>
          <w:tcPr>
            <w:tcW w:w="1345" w:type="dxa"/>
            <w:vAlign w:val="center"/>
          </w:tcPr>
          <w:p w:rsidR="00870E8F" w:rsidRPr="005F3DC5" w:rsidRDefault="00870E8F" w:rsidP="00B477DE">
            <w:pPr>
              <w:jc w:val="center"/>
              <w:rPr>
                <w:rFonts w:ascii="Arial" w:hAnsi="Arial" w:cs="Arial"/>
                <w:color w:val="000000" w:themeColor="text1"/>
              </w:rPr>
            </w:pPr>
            <w:r w:rsidRPr="005F3DC5">
              <w:rPr>
                <w:rFonts w:ascii="Arial" w:hAnsi="Arial" w:cs="Arial"/>
                <w:color w:val="000000" w:themeColor="text1"/>
              </w:rPr>
              <w:t>42%</w:t>
            </w:r>
          </w:p>
        </w:tc>
      </w:tr>
      <w:tr w:rsidR="00870E8F" w:rsidRPr="005F3DC5" w:rsidTr="00B477DE">
        <w:trPr>
          <w:trHeight w:val="432"/>
          <w:jc w:val="center"/>
        </w:trPr>
        <w:tc>
          <w:tcPr>
            <w:tcW w:w="5305" w:type="dxa"/>
            <w:vAlign w:val="center"/>
          </w:tcPr>
          <w:p w:rsidR="00870E8F" w:rsidRPr="005F3DC5" w:rsidRDefault="00870E8F" w:rsidP="00B477DE">
            <w:pPr>
              <w:rPr>
                <w:rFonts w:ascii="Arial" w:hAnsi="Arial" w:cs="Arial"/>
                <w:color w:val="000000" w:themeColor="text1"/>
              </w:rPr>
            </w:pPr>
            <w:r w:rsidRPr="00CB383F">
              <w:rPr>
                <w:rFonts w:ascii="Arial" w:hAnsi="Arial" w:cs="Arial"/>
                <w:b/>
                <w:color w:val="000000" w:themeColor="text1"/>
              </w:rPr>
              <w:t>Homeownership Rates:</w:t>
            </w:r>
            <w:r w:rsidRPr="005F3DC5">
              <w:rPr>
                <w:rFonts w:ascii="Arial" w:hAnsi="Arial" w:cs="Arial"/>
                <w:color w:val="000000" w:themeColor="text1"/>
              </w:rPr>
              <w:t xml:space="preserve"> Latinos</w:t>
            </w:r>
          </w:p>
        </w:tc>
        <w:tc>
          <w:tcPr>
            <w:tcW w:w="1350" w:type="dxa"/>
            <w:vAlign w:val="center"/>
          </w:tcPr>
          <w:p w:rsidR="00870E8F" w:rsidRPr="001A7476" w:rsidRDefault="00870E8F" w:rsidP="00B477DE">
            <w:pPr>
              <w:jc w:val="center"/>
              <w:rPr>
                <w:rFonts w:ascii="Arial" w:hAnsi="Arial" w:cs="Arial"/>
                <w:b/>
                <w:color w:val="000000" w:themeColor="text1"/>
              </w:rPr>
            </w:pPr>
            <w:r w:rsidRPr="001A7476">
              <w:rPr>
                <w:rFonts w:ascii="Arial" w:hAnsi="Arial" w:cs="Arial"/>
                <w:b/>
                <w:color w:val="000000" w:themeColor="text1"/>
              </w:rPr>
              <w:t>35%</w:t>
            </w:r>
          </w:p>
        </w:tc>
        <w:tc>
          <w:tcPr>
            <w:tcW w:w="1350" w:type="dxa"/>
            <w:vAlign w:val="center"/>
          </w:tcPr>
          <w:p w:rsidR="00870E8F" w:rsidRPr="005F3DC5" w:rsidRDefault="00870E8F" w:rsidP="00B477DE">
            <w:pPr>
              <w:jc w:val="center"/>
              <w:rPr>
                <w:rFonts w:ascii="Arial" w:hAnsi="Arial" w:cs="Arial"/>
                <w:color w:val="000000" w:themeColor="text1"/>
              </w:rPr>
            </w:pPr>
            <w:r w:rsidRPr="005F3DC5">
              <w:rPr>
                <w:rFonts w:ascii="Arial" w:hAnsi="Arial" w:cs="Arial"/>
                <w:color w:val="000000" w:themeColor="text1"/>
              </w:rPr>
              <w:t>24%</w:t>
            </w:r>
          </w:p>
        </w:tc>
        <w:tc>
          <w:tcPr>
            <w:tcW w:w="1345" w:type="dxa"/>
            <w:vAlign w:val="center"/>
          </w:tcPr>
          <w:p w:rsidR="00870E8F" w:rsidRPr="005F3DC5" w:rsidRDefault="00870E8F" w:rsidP="00B477DE">
            <w:pPr>
              <w:jc w:val="center"/>
              <w:rPr>
                <w:rFonts w:ascii="Arial" w:hAnsi="Arial" w:cs="Arial"/>
                <w:color w:val="000000" w:themeColor="text1"/>
              </w:rPr>
            </w:pPr>
            <w:r w:rsidRPr="005F3DC5">
              <w:rPr>
                <w:rFonts w:ascii="Arial" w:hAnsi="Arial" w:cs="Arial"/>
                <w:color w:val="000000" w:themeColor="text1"/>
              </w:rPr>
              <w:t>46%</w:t>
            </w:r>
          </w:p>
        </w:tc>
      </w:tr>
    </w:tbl>
    <w:p w:rsidR="001C4534" w:rsidRDefault="001C4534" w:rsidP="00CB383F">
      <w:pPr>
        <w:pStyle w:val="BodyText"/>
        <w:spacing w:line="239" w:lineRule="auto"/>
        <w:ind w:right="397"/>
        <w:jc w:val="center"/>
        <w:rPr>
          <w:sz w:val="18"/>
          <w:szCs w:val="18"/>
        </w:rPr>
      </w:pPr>
    </w:p>
    <w:p w:rsidR="00870E8F" w:rsidRPr="00CB383F" w:rsidRDefault="00CB383F" w:rsidP="00CB383F">
      <w:pPr>
        <w:pStyle w:val="BodyText"/>
        <w:spacing w:line="239" w:lineRule="auto"/>
        <w:ind w:right="397"/>
        <w:jc w:val="center"/>
        <w:rPr>
          <w:sz w:val="18"/>
          <w:szCs w:val="18"/>
        </w:rPr>
      </w:pPr>
      <w:r w:rsidRPr="00CB383F">
        <w:rPr>
          <w:sz w:val="18"/>
          <w:szCs w:val="18"/>
        </w:rPr>
        <w:t>(</w:t>
      </w:r>
      <w:r w:rsidRPr="007E4AB7">
        <w:rPr>
          <w:sz w:val="18"/>
          <w:szCs w:val="18"/>
        </w:rPr>
        <w:t>Page 1 of 3)</w:t>
      </w:r>
    </w:p>
    <w:p w:rsidR="00CB383F" w:rsidRDefault="00CB383F" w:rsidP="00E96F56">
      <w:pPr>
        <w:pStyle w:val="BodyText"/>
        <w:spacing w:line="252" w:lineRule="exact"/>
        <w:ind w:right="306"/>
        <w:rPr>
          <w:spacing w:val="-1"/>
        </w:rPr>
      </w:pPr>
    </w:p>
    <w:p w:rsidR="00CB383F" w:rsidRDefault="00CB383F" w:rsidP="00E96F56">
      <w:pPr>
        <w:pStyle w:val="BodyText"/>
        <w:spacing w:line="252" w:lineRule="exact"/>
        <w:ind w:right="306"/>
        <w:rPr>
          <w:spacing w:val="-1"/>
        </w:rPr>
      </w:pPr>
    </w:p>
    <w:p w:rsidR="00CB383F" w:rsidRDefault="00CB383F" w:rsidP="00CB383F">
      <w:pPr>
        <w:spacing w:line="276" w:lineRule="auto"/>
        <w:rPr>
          <w:rFonts w:ascii="Arial" w:eastAsia="Arial" w:hAnsi="Arial"/>
          <w:spacing w:val="-1"/>
        </w:rPr>
      </w:pPr>
      <w:r>
        <w:rPr>
          <w:rFonts w:ascii="Arial" w:eastAsia="Arial" w:hAnsi="Arial"/>
          <w:spacing w:val="-1"/>
        </w:rPr>
        <w:t>“Hard Facts” shows</w:t>
      </w:r>
      <w:r w:rsidRPr="00E96F56">
        <w:rPr>
          <w:rFonts w:ascii="Arial" w:eastAsia="Arial" w:hAnsi="Arial"/>
          <w:spacing w:val="-1"/>
        </w:rPr>
        <w:t xml:space="preserve"> </w:t>
      </w:r>
      <w:r>
        <w:rPr>
          <w:rFonts w:ascii="Arial" w:eastAsia="Arial" w:hAnsi="Arial"/>
          <w:spacing w:val="-1"/>
        </w:rPr>
        <w:t xml:space="preserve">that </w:t>
      </w:r>
      <w:r w:rsidRPr="00E96F56">
        <w:rPr>
          <w:rFonts w:ascii="Arial" w:eastAsia="Arial" w:hAnsi="Arial"/>
          <w:spacing w:val="-1"/>
        </w:rPr>
        <w:t xml:space="preserve">the gaps are wide and individuals and families </w:t>
      </w:r>
      <w:r>
        <w:rPr>
          <w:rFonts w:ascii="Arial" w:eastAsia="Arial" w:hAnsi="Arial"/>
          <w:spacing w:val="-1"/>
        </w:rPr>
        <w:t xml:space="preserve">are affected </w:t>
      </w:r>
      <w:r w:rsidRPr="00E96F56">
        <w:rPr>
          <w:rFonts w:ascii="Arial" w:eastAsia="Arial" w:hAnsi="Arial"/>
          <w:spacing w:val="-1"/>
        </w:rPr>
        <w:t>throughout their lives</w:t>
      </w:r>
      <w:r>
        <w:rPr>
          <w:rFonts w:ascii="Arial" w:eastAsia="Arial" w:hAnsi="Arial"/>
          <w:spacing w:val="-1"/>
        </w:rPr>
        <w:t xml:space="preserve"> and for generations to come. </w:t>
      </w:r>
    </w:p>
    <w:p w:rsidR="00CB383F" w:rsidRDefault="00CB383F" w:rsidP="00CB383F">
      <w:pPr>
        <w:spacing w:line="276" w:lineRule="auto"/>
        <w:rPr>
          <w:rFonts w:ascii="Arial" w:eastAsia="Arial" w:hAnsi="Arial"/>
          <w:spacing w:val="-1"/>
        </w:rPr>
      </w:pPr>
    </w:p>
    <w:p w:rsidR="00CB383F" w:rsidRPr="00CB383F" w:rsidRDefault="00CB383F" w:rsidP="00CB383F">
      <w:pPr>
        <w:pStyle w:val="ListParagraph"/>
        <w:widowControl/>
        <w:numPr>
          <w:ilvl w:val="0"/>
          <w:numId w:val="4"/>
        </w:numPr>
        <w:spacing w:line="276" w:lineRule="auto"/>
        <w:contextualSpacing/>
        <w:rPr>
          <w:rFonts w:ascii="Arial" w:eastAsia="Arial" w:hAnsi="Arial"/>
          <w:spacing w:val="1"/>
        </w:rPr>
      </w:pPr>
      <w:r w:rsidRPr="00E96F56">
        <w:rPr>
          <w:rFonts w:ascii="Arial" w:eastAsia="Arial" w:hAnsi="Arial"/>
          <w:spacing w:val="1"/>
        </w:rPr>
        <w:t xml:space="preserve">African American children in our region </w:t>
      </w:r>
      <w:r w:rsidRPr="00CB383F">
        <w:rPr>
          <w:rFonts w:ascii="Arial" w:eastAsia="Arial" w:hAnsi="Arial"/>
          <w:spacing w:val="1"/>
        </w:rPr>
        <w:t>are more than four times as likely as whites to live in poverty, and Latino children experience poverty at a rate of more than 3½ times that of non-Latino white children.</w:t>
      </w:r>
    </w:p>
    <w:p w:rsidR="00CB383F" w:rsidRPr="00CB383F" w:rsidRDefault="00CB383F" w:rsidP="00CB383F">
      <w:pPr>
        <w:pStyle w:val="ListParagraph"/>
        <w:widowControl/>
        <w:spacing w:line="276" w:lineRule="auto"/>
        <w:ind w:left="720"/>
        <w:contextualSpacing/>
        <w:rPr>
          <w:rFonts w:ascii="Arial" w:eastAsia="Arial" w:hAnsi="Arial"/>
          <w:spacing w:val="1"/>
        </w:rPr>
      </w:pPr>
    </w:p>
    <w:p w:rsidR="00CB383F" w:rsidRPr="00CB383F" w:rsidRDefault="00CB383F" w:rsidP="00CB383F">
      <w:pPr>
        <w:pStyle w:val="ListParagraph"/>
        <w:widowControl/>
        <w:numPr>
          <w:ilvl w:val="0"/>
          <w:numId w:val="4"/>
        </w:numPr>
        <w:spacing w:line="276" w:lineRule="auto"/>
        <w:contextualSpacing/>
        <w:rPr>
          <w:rFonts w:ascii="Arial" w:eastAsia="Arial" w:hAnsi="Arial"/>
          <w:spacing w:val="1"/>
        </w:rPr>
      </w:pPr>
      <w:r w:rsidRPr="00CB383F">
        <w:rPr>
          <w:rFonts w:ascii="Arial" w:eastAsia="Arial" w:hAnsi="Arial"/>
          <w:spacing w:val="1"/>
        </w:rPr>
        <w:t>Dramatic academic achievement gaps among racial and ethnic groups are evident at every grade level.</w:t>
      </w:r>
    </w:p>
    <w:p w:rsidR="00CB383F" w:rsidRPr="00CB383F" w:rsidRDefault="00CB383F" w:rsidP="00CB383F">
      <w:pPr>
        <w:pStyle w:val="ListParagraph"/>
        <w:widowControl/>
        <w:spacing w:line="276" w:lineRule="auto"/>
        <w:ind w:left="720"/>
        <w:contextualSpacing/>
        <w:rPr>
          <w:rFonts w:ascii="Arial" w:eastAsia="Arial" w:hAnsi="Arial"/>
          <w:spacing w:val="1"/>
        </w:rPr>
      </w:pPr>
    </w:p>
    <w:p w:rsidR="00CB383F" w:rsidRDefault="00CB383F" w:rsidP="00CB383F">
      <w:pPr>
        <w:pStyle w:val="ListParagraph"/>
        <w:widowControl/>
        <w:numPr>
          <w:ilvl w:val="0"/>
          <w:numId w:val="4"/>
        </w:numPr>
        <w:spacing w:line="276" w:lineRule="auto"/>
        <w:contextualSpacing/>
        <w:rPr>
          <w:rFonts w:ascii="Arial" w:eastAsia="Arial" w:hAnsi="Arial"/>
          <w:spacing w:val="1"/>
        </w:rPr>
      </w:pPr>
      <w:r w:rsidRPr="00E96F56">
        <w:rPr>
          <w:rFonts w:ascii="Arial" w:eastAsia="Arial" w:hAnsi="Arial"/>
          <w:spacing w:val="1"/>
        </w:rPr>
        <w:t>Median household incomes of African Americans in our region are less than half that of whites. For Latinos, salaries are only slightly more than half the lev</w:t>
      </w:r>
      <w:r>
        <w:rPr>
          <w:rFonts w:ascii="Arial" w:eastAsia="Arial" w:hAnsi="Arial"/>
          <w:spacing w:val="1"/>
        </w:rPr>
        <w:t xml:space="preserve">el of non-Latino whites. </w:t>
      </w:r>
    </w:p>
    <w:p w:rsidR="00CB383F" w:rsidRPr="00CB383F" w:rsidRDefault="00CB383F" w:rsidP="00CB383F">
      <w:pPr>
        <w:widowControl/>
        <w:spacing w:line="276" w:lineRule="auto"/>
        <w:contextualSpacing/>
        <w:rPr>
          <w:rFonts w:ascii="Arial" w:eastAsia="Arial" w:hAnsi="Arial"/>
          <w:spacing w:val="1"/>
        </w:rPr>
      </w:pPr>
    </w:p>
    <w:p w:rsidR="00CB383F" w:rsidRPr="00E96F56" w:rsidRDefault="00CB383F" w:rsidP="00CB383F">
      <w:pPr>
        <w:pStyle w:val="ListParagraph"/>
        <w:widowControl/>
        <w:numPr>
          <w:ilvl w:val="0"/>
          <w:numId w:val="4"/>
        </w:numPr>
        <w:spacing w:line="276" w:lineRule="auto"/>
        <w:contextualSpacing/>
        <w:rPr>
          <w:rFonts w:ascii="Arial" w:eastAsia="Arial" w:hAnsi="Arial"/>
          <w:spacing w:val="1"/>
        </w:rPr>
      </w:pPr>
      <w:r w:rsidRPr="00E96F56">
        <w:rPr>
          <w:rFonts w:ascii="Arial" w:eastAsia="Arial" w:hAnsi="Arial"/>
          <w:spacing w:val="1"/>
        </w:rPr>
        <w:t>Both African Americans and Latinos are less than half as likely to own their home</w:t>
      </w:r>
      <w:r w:rsidR="000555B8">
        <w:rPr>
          <w:rFonts w:ascii="Arial" w:eastAsia="Arial" w:hAnsi="Arial"/>
          <w:spacing w:val="1"/>
        </w:rPr>
        <w:t>s</w:t>
      </w:r>
      <w:r w:rsidRPr="00E96F56">
        <w:rPr>
          <w:rFonts w:ascii="Arial" w:eastAsia="Arial" w:hAnsi="Arial"/>
          <w:spacing w:val="1"/>
        </w:rPr>
        <w:t xml:space="preserve"> as their white counterparts</w:t>
      </w:r>
      <w:r>
        <w:rPr>
          <w:rFonts w:ascii="Arial" w:eastAsia="Arial" w:hAnsi="Arial"/>
          <w:spacing w:val="1"/>
        </w:rPr>
        <w:t>.</w:t>
      </w:r>
    </w:p>
    <w:p w:rsidR="00CB383F" w:rsidRPr="00E96F56" w:rsidRDefault="00CB383F" w:rsidP="00CB383F">
      <w:pPr>
        <w:pStyle w:val="BodyText"/>
        <w:spacing w:line="276" w:lineRule="auto"/>
        <w:ind w:right="104"/>
        <w:rPr>
          <w:spacing w:val="1"/>
        </w:rPr>
      </w:pPr>
    </w:p>
    <w:p w:rsidR="00044760" w:rsidRDefault="00044760" w:rsidP="00632BF9">
      <w:pPr>
        <w:pStyle w:val="BodyText"/>
        <w:spacing w:line="276" w:lineRule="auto"/>
        <w:ind w:left="0" w:right="104"/>
        <w:rPr>
          <w:spacing w:val="1"/>
        </w:rPr>
      </w:pPr>
      <w:r>
        <w:rPr>
          <w:spacing w:val="1"/>
        </w:rPr>
        <w:t>“</w:t>
      </w:r>
      <w:r w:rsidR="001C4534">
        <w:rPr>
          <w:spacing w:val="1"/>
        </w:rPr>
        <w:t xml:space="preserve">Unfortunately, </w:t>
      </w:r>
      <w:r w:rsidR="00632BF9">
        <w:rPr>
          <w:spacing w:val="1"/>
        </w:rPr>
        <w:t>t</w:t>
      </w:r>
      <w:r>
        <w:rPr>
          <w:spacing w:val="1"/>
        </w:rPr>
        <w:t xml:space="preserve">hese </w:t>
      </w:r>
      <w:r w:rsidR="00632BF9">
        <w:rPr>
          <w:spacing w:val="1"/>
        </w:rPr>
        <w:t>statistics</w:t>
      </w:r>
      <w:r>
        <w:rPr>
          <w:spacing w:val="1"/>
        </w:rPr>
        <w:t xml:space="preserve"> have a demonstrable </w:t>
      </w:r>
      <w:r w:rsidR="00632BF9">
        <w:rPr>
          <w:spacing w:val="1"/>
        </w:rPr>
        <w:t xml:space="preserve">impact on the well-being of </w:t>
      </w:r>
      <w:r>
        <w:rPr>
          <w:spacing w:val="1"/>
        </w:rPr>
        <w:t>our neighbors</w:t>
      </w:r>
      <w:r w:rsidR="00632BF9">
        <w:rPr>
          <w:spacing w:val="1"/>
        </w:rPr>
        <w:t xml:space="preserve"> in urban, suburban and rural areas</w:t>
      </w:r>
      <w:r>
        <w:rPr>
          <w:spacing w:val="1"/>
        </w:rPr>
        <w:t xml:space="preserve">, which contributes significantly to our low median incomes and higher poverty,” says Ann Johnson, senior director of ACT Rochester. </w:t>
      </w:r>
    </w:p>
    <w:p w:rsidR="00044760" w:rsidRDefault="00044760" w:rsidP="00CB383F">
      <w:pPr>
        <w:pStyle w:val="BodyText"/>
        <w:spacing w:line="276" w:lineRule="auto"/>
        <w:ind w:right="104"/>
        <w:rPr>
          <w:spacing w:val="1"/>
        </w:rPr>
      </w:pPr>
    </w:p>
    <w:p w:rsidR="00632BF9" w:rsidRPr="00632BF9" w:rsidRDefault="00632BF9" w:rsidP="00632BF9">
      <w:pPr>
        <w:widowControl/>
        <w:spacing w:line="276" w:lineRule="auto"/>
        <w:contextualSpacing/>
        <w:rPr>
          <w:rFonts w:ascii="Arial" w:eastAsia="Arial" w:hAnsi="Arial" w:cs="Arial"/>
          <w:b/>
          <w:spacing w:val="1"/>
        </w:rPr>
      </w:pPr>
      <w:r w:rsidRPr="00632BF9">
        <w:rPr>
          <w:rFonts w:ascii="Arial" w:hAnsi="Arial" w:cs="Arial"/>
          <w:spacing w:val="-1"/>
        </w:rPr>
        <w:t>According to the report, r</w:t>
      </w:r>
      <w:r w:rsidRPr="00632BF9">
        <w:rPr>
          <w:rFonts w:ascii="Arial" w:eastAsia="Arial" w:hAnsi="Arial" w:cs="Arial"/>
          <w:spacing w:val="-1"/>
        </w:rPr>
        <w:t>esear</w:t>
      </w:r>
      <w:r w:rsidRPr="00632BF9">
        <w:rPr>
          <w:rFonts w:ascii="Arial" w:hAnsi="Arial" w:cs="Arial"/>
          <w:spacing w:val="-1"/>
        </w:rPr>
        <w:t>ched and written by Ed Doherty,</w:t>
      </w:r>
      <w:r>
        <w:rPr>
          <w:rFonts w:ascii="Arial" w:hAnsi="Arial" w:cs="Arial"/>
          <w:spacing w:val="-1"/>
        </w:rPr>
        <w:t xml:space="preserve"> author of three previous reports on poverty,</w:t>
      </w:r>
      <w:r w:rsidRPr="00632BF9">
        <w:rPr>
          <w:rFonts w:ascii="Arial" w:hAnsi="Arial" w:cs="Arial"/>
          <w:spacing w:val="-1"/>
        </w:rPr>
        <w:t xml:space="preserve"> </w:t>
      </w:r>
      <w:r>
        <w:rPr>
          <w:rFonts w:ascii="Arial" w:eastAsia="Arial" w:hAnsi="Arial" w:cs="Arial"/>
          <w:spacing w:val="1"/>
        </w:rPr>
        <w:t>i</w:t>
      </w:r>
      <w:r w:rsidRPr="00632BF9">
        <w:rPr>
          <w:rFonts w:ascii="Arial" w:eastAsia="Arial" w:hAnsi="Arial" w:cs="Arial"/>
          <w:spacing w:val="1"/>
        </w:rPr>
        <w:t xml:space="preserve">f local African American and Latino poverty rates mirrored the rates of these same groups in New York State as a whole, our region’s poverty rate would be considerably lower. For the City of Rochester, the poverty rate would be nearly </w:t>
      </w:r>
      <w:r w:rsidRPr="00632BF9">
        <w:rPr>
          <w:rFonts w:ascii="Arial" w:hAnsi="Arial" w:cs="Arial"/>
        </w:rPr>
        <w:t>7 percentage points lower. Instead of its current rank as the 4</w:t>
      </w:r>
      <w:r w:rsidRPr="00632BF9">
        <w:rPr>
          <w:rFonts w:ascii="Arial" w:hAnsi="Arial" w:cs="Arial"/>
          <w:vertAlign w:val="superscript"/>
        </w:rPr>
        <w:t>th</w:t>
      </w:r>
      <w:r w:rsidRPr="00632BF9">
        <w:rPr>
          <w:rFonts w:ascii="Arial" w:hAnsi="Arial" w:cs="Arial"/>
        </w:rPr>
        <w:t xml:space="preserve"> poorest city in the nation, Rochester would rank </w:t>
      </w:r>
      <w:r>
        <w:rPr>
          <w:rFonts w:ascii="Arial" w:hAnsi="Arial" w:cs="Arial"/>
        </w:rPr>
        <w:t>about 17</w:t>
      </w:r>
      <w:r w:rsidRPr="00632BF9">
        <w:rPr>
          <w:rFonts w:ascii="Arial" w:hAnsi="Arial" w:cs="Arial"/>
          <w:vertAlign w:val="superscript"/>
        </w:rPr>
        <w:t>th</w:t>
      </w:r>
      <w:r>
        <w:rPr>
          <w:rFonts w:ascii="Arial" w:hAnsi="Arial" w:cs="Arial"/>
        </w:rPr>
        <w:t>.</w:t>
      </w:r>
    </w:p>
    <w:p w:rsidR="00CB383F" w:rsidRDefault="00CB383F" w:rsidP="00632BF9">
      <w:pPr>
        <w:pStyle w:val="BodyText"/>
        <w:spacing w:line="276" w:lineRule="auto"/>
        <w:ind w:left="0" w:right="306"/>
        <w:rPr>
          <w:spacing w:val="-1"/>
        </w:rPr>
      </w:pPr>
    </w:p>
    <w:p w:rsidR="00E96F56" w:rsidRPr="00FE5F90" w:rsidRDefault="00632BF9" w:rsidP="00CB383F">
      <w:pPr>
        <w:spacing w:line="276" w:lineRule="auto"/>
        <w:rPr>
          <w:rFonts w:ascii="Arial" w:hAnsi="Arial" w:cs="Arial"/>
        </w:rPr>
      </w:pPr>
      <w:r>
        <w:rPr>
          <w:rFonts w:ascii="Arial" w:hAnsi="Arial" w:cs="Arial"/>
        </w:rPr>
        <w:t>Johnson pointed to two other</w:t>
      </w:r>
      <w:r w:rsidR="00CE3B78">
        <w:rPr>
          <w:rFonts w:ascii="Arial" w:hAnsi="Arial" w:cs="Arial"/>
        </w:rPr>
        <w:t xml:space="preserve"> findings in the report that impede improving the q</w:t>
      </w:r>
      <w:r w:rsidR="007E4AB7">
        <w:rPr>
          <w:rFonts w:ascii="Arial" w:hAnsi="Arial" w:cs="Arial"/>
        </w:rPr>
        <w:t>uality of life in our community:</w:t>
      </w:r>
      <w:r>
        <w:rPr>
          <w:rFonts w:ascii="Arial" w:hAnsi="Arial" w:cs="Arial"/>
        </w:rPr>
        <w:t xml:space="preserve"> </w:t>
      </w:r>
    </w:p>
    <w:p w:rsidR="00632BF9" w:rsidRDefault="00632BF9" w:rsidP="00632BF9">
      <w:pPr>
        <w:widowControl/>
        <w:spacing w:line="276" w:lineRule="auto"/>
        <w:contextualSpacing/>
        <w:rPr>
          <w:rFonts w:ascii="Arial" w:eastAsia="Arial" w:hAnsi="Arial"/>
          <w:b/>
          <w:spacing w:val="1"/>
        </w:rPr>
      </w:pPr>
    </w:p>
    <w:p w:rsidR="00632BF9" w:rsidRDefault="00632BF9" w:rsidP="00632BF9">
      <w:pPr>
        <w:pStyle w:val="ListParagraph"/>
        <w:widowControl/>
        <w:numPr>
          <w:ilvl w:val="0"/>
          <w:numId w:val="8"/>
        </w:numPr>
        <w:spacing w:line="276" w:lineRule="auto"/>
        <w:contextualSpacing/>
        <w:rPr>
          <w:rFonts w:ascii="Arial" w:eastAsia="Arial" w:hAnsi="Arial"/>
          <w:spacing w:val="1"/>
        </w:rPr>
      </w:pPr>
      <w:r w:rsidRPr="00632BF9">
        <w:rPr>
          <w:rFonts w:ascii="Arial" w:eastAsia="Arial" w:hAnsi="Arial"/>
          <w:spacing w:val="1"/>
        </w:rPr>
        <w:t>The d</w:t>
      </w:r>
      <w:r w:rsidR="00E96F56" w:rsidRPr="00632BF9">
        <w:rPr>
          <w:rFonts w:ascii="Arial" w:eastAsia="Arial" w:hAnsi="Arial"/>
          <w:spacing w:val="1"/>
        </w:rPr>
        <w:t>isparities</w:t>
      </w:r>
      <w:r>
        <w:rPr>
          <w:rFonts w:ascii="Arial" w:eastAsia="Arial" w:hAnsi="Arial"/>
          <w:b/>
          <w:spacing w:val="1"/>
        </w:rPr>
        <w:t xml:space="preserve"> </w:t>
      </w:r>
      <w:r w:rsidRPr="00632BF9">
        <w:rPr>
          <w:rFonts w:ascii="Arial" w:eastAsia="Arial" w:hAnsi="Arial"/>
          <w:spacing w:val="1"/>
        </w:rPr>
        <w:t>negatively impact</w:t>
      </w:r>
      <w:r>
        <w:rPr>
          <w:rFonts w:ascii="Arial" w:eastAsia="Arial" w:hAnsi="Arial"/>
          <w:b/>
          <w:spacing w:val="1"/>
        </w:rPr>
        <w:t xml:space="preserve"> </w:t>
      </w:r>
      <w:r w:rsidR="00E96F56" w:rsidRPr="00632BF9">
        <w:rPr>
          <w:rFonts w:ascii="Arial" w:eastAsia="Arial" w:hAnsi="Arial"/>
          <w:spacing w:val="1"/>
        </w:rPr>
        <w:t xml:space="preserve">one of the largest sources of intergenerational wealth transfer </w:t>
      </w:r>
      <w:r>
        <w:rPr>
          <w:rFonts w:ascii="Arial" w:eastAsia="Arial" w:hAnsi="Arial"/>
          <w:spacing w:val="1"/>
        </w:rPr>
        <w:t xml:space="preserve">— </w:t>
      </w:r>
      <w:r w:rsidR="00E96F56" w:rsidRPr="00632BF9">
        <w:rPr>
          <w:rFonts w:ascii="Arial" w:eastAsia="Arial" w:hAnsi="Arial"/>
          <w:spacing w:val="1"/>
        </w:rPr>
        <w:t>home ownership.</w:t>
      </w:r>
    </w:p>
    <w:p w:rsidR="007E4AB7" w:rsidRDefault="007E4AB7" w:rsidP="007E4AB7">
      <w:pPr>
        <w:pStyle w:val="ListParagraph"/>
        <w:widowControl/>
        <w:spacing w:line="276" w:lineRule="auto"/>
        <w:ind w:left="720"/>
        <w:contextualSpacing/>
        <w:rPr>
          <w:rFonts w:ascii="Arial" w:eastAsia="Arial" w:hAnsi="Arial"/>
          <w:spacing w:val="1"/>
        </w:rPr>
      </w:pPr>
    </w:p>
    <w:p w:rsidR="00E96F56" w:rsidRPr="00632BF9" w:rsidRDefault="00E96F56" w:rsidP="00632BF9">
      <w:pPr>
        <w:pStyle w:val="ListParagraph"/>
        <w:widowControl/>
        <w:numPr>
          <w:ilvl w:val="0"/>
          <w:numId w:val="8"/>
        </w:numPr>
        <w:spacing w:line="276" w:lineRule="auto"/>
        <w:contextualSpacing/>
        <w:rPr>
          <w:rFonts w:ascii="Arial" w:eastAsia="Arial" w:hAnsi="Arial"/>
          <w:spacing w:val="1"/>
        </w:rPr>
      </w:pPr>
      <w:r w:rsidRPr="00632BF9">
        <w:rPr>
          <w:rFonts w:ascii="Arial" w:eastAsia="Arial" w:hAnsi="Arial"/>
          <w:spacing w:val="1"/>
        </w:rPr>
        <w:t xml:space="preserve">The gaps between racial and ethnic groups are greater in the Rochester region than in the United States or New York State as a whole. This is not a city-suburb comparison. The nine-county area includes four cities, expansive suburban areas, numerous villages, and significant rural areas. </w:t>
      </w:r>
    </w:p>
    <w:p w:rsidR="00632BF9" w:rsidRDefault="00632BF9" w:rsidP="00632BF9">
      <w:pPr>
        <w:widowControl/>
        <w:spacing w:line="276" w:lineRule="auto"/>
        <w:contextualSpacing/>
        <w:rPr>
          <w:rFonts w:ascii="Arial" w:eastAsia="Arial" w:hAnsi="Arial"/>
          <w:spacing w:val="1"/>
        </w:rPr>
      </w:pPr>
    </w:p>
    <w:p w:rsidR="00C23CAB" w:rsidRDefault="00CA10F8" w:rsidP="00632BF9">
      <w:pPr>
        <w:widowControl/>
        <w:spacing w:line="276" w:lineRule="auto"/>
        <w:contextualSpacing/>
        <w:rPr>
          <w:rFonts w:ascii="Arial" w:eastAsia="Arial" w:hAnsi="Arial"/>
          <w:spacing w:val="1"/>
        </w:rPr>
      </w:pPr>
      <w:r>
        <w:rPr>
          <w:rFonts w:ascii="Arial" w:eastAsia="Arial" w:hAnsi="Arial"/>
          <w:spacing w:val="1"/>
        </w:rPr>
        <w:t xml:space="preserve">Data on race and ethnicity for the nine counties (Genesee, Livingston, Monroe, Ontario, Orleans, Seneca, Wayne, Wyoming, and Yates) has been available on the ACT Rochester website since </w:t>
      </w:r>
      <w:r w:rsidR="00CE3B78">
        <w:rPr>
          <w:rFonts w:ascii="Arial" w:eastAsia="Arial" w:hAnsi="Arial"/>
          <w:spacing w:val="1"/>
        </w:rPr>
        <w:t xml:space="preserve">its launch in 2009. Beginning in </w:t>
      </w:r>
      <w:r>
        <w:rPr>
          <w:rFonts w:ascii="Arial" w:eastAsia="Arial" w:hAnsi="Arial"/>
          <w:spacing w:val="1"/>
        </w:rPr>
        <w:t>2012</w:t>
      </w:r>
      <w:r w:rsidR="000555B8">
        <w:rPr>
          <w:rFonts w:ascii="Arial" w:eastAsia="Arial" w:hAnsi="Arial"/>
          <w:spacing w:val="1"/>
        </w:rPr>
        <w:t>,</w:t>
      </w:r>
      <w:r w:rsidR="00CE3B78">
        <w:rPr>
          <w:rFonts w:ascii="Arial" w:eastAsia="Arial" w:hAnsi="Arial"/>
          <w:spacing w:val="1"/>
        </w:rPr>
        <w:t xml:space="preserve"> ACT Rochester has been tracking and reporting most of this data </w:t>
      </w:r>
      <w:r w:rsidR="00CE3B78" w:rsidRPr="00D6015B">
        <w:rPr>
          <w:rFonts w:ascii="Arial" w:eastAsia="Arial" w:hAnsi="Arial"/>
          <w:spacing w:val="1"/>
        </w:rPr>
        <w:t>in tabular form</w:t>
      </w:r>
      <w:r w:rsidR="00AA1C81" w:rsidRPr="00D6015B">
        <w:rPr>
          <w:rFonts w:ascii="Arial" w:eastAsia="Arial" w:hAnsi="Arial"/>
          <w:spacing w:val="1"/>
        </w:rPr>
        <w:t xml:space="preserve"> (</w:t>
      </w:r>
      <w:r w:rsidR="007E082E">
        <w:rPr>
          <w:rFonts w:ascii="Arial" w:eastAsia="Arial" w:hAnsi="Arial"/>
          <w:i/>
          <w:spacing w:val="1"/>
        </w:rPr>
        <w:t>see Appende</w:t>
      </w:r>
      <w:bookmarkStart w:id="0" w:name="_GoBack"/>
      <w:bookmarkEnd w:id="0"/>
      <w:r w:rsidR="00AA1C81" w:rsidRPr="001A5E25">
        <w:rPr>
          <w:rFonts w:ascii="Arial" w:eastAsia="Arial" w:hAnsi="Arial"/>
          <w:i/>
          <w:spacing w:val="1"/>
        </w:rPr>
        <w:t>x D</w:t>
      </w:r>
      <w:r w:rsidR="00D6015B" w:rsidRPr="001A5E25">
        <w:rPr>
          <w:rFonts w:ascii="Arial" w:eastAsia="Arial" w:hAnsi="Arial"/>
          <w:i/>
          <w:spacing w:val="1"/>
        </w:rPr>
        <w:t xml:space="preserve"> of the report</w:t>
      </w:r>
      <w:r w:rsidR="00AA1C81" w:rsidRPr="00D6015B">
        <w:rPr>
          <w:rFonts w:ascii="Arial" w:eastAsia="Arial" w:hAnsi="Arial"/>
          <w:spacing w:val="1"/>
        </w:rPr>
        <w:t>)</w:t>
      </w:r>
      <w:r w:rsidR="00CE3B78" w:rsidRPr="00D6015B">
        <w:rPr>
          <w:rFonts w:ascii="Arial" w:eastAsia="Arial" w:hAnsi="Arial"/>
          <w:spacing w:val="1"/>
        </w:rPr>
        <w:t>.</w:t>
      </w:r>
      <w:r w:rsidR="001C4534">
        <w:rPr>
          <w:rFonts w:ascii="Arial" w:eastAsia="Arial" w:hAnsi="Arial"/>
          <w:spacing w:val="1"/>
        </w:rPr>
        <w:br/>
      </w:r>
    </w:p>
    <w:p w:rsidR="001C4534" w:rsidRPr="00CB383F" w:rsidRDefault="001C4534" w:rsidP="001C4534">
      <w:pPr>
        <w:pStyle w:val="BodyText"/>
        <w:spacing w:line="239" w:lineRule="auto"/>
        <w:ind w:right="397"/>
        <w:jc w:val="center"/>
        <w:rPr>
          <w:sz w:val="18"/>
          <w:szCs w:val="18"/>
        </w:rPr>
      </w:pPr>
      <w:r w:rsidRPr="00CB383F">
        <w:rPr>
          <w:sz w:val="18"/>
          <w:szCs w:val="18"/>
        </w:rPr>
        <w:t>(</w:t>
      </w:r>
      <w:r w:rsidRPr="007E4AB7">
        <w:rPr>
          <w:sz w:val="18"/>
          <w:szCs w:val="18"/>
        </w:rPr>
        <w:t xml:space="preserve">Page </w:t>
      </w:r>
      <w:r>
        <w:rPr>
          <w:sz w:val="18"/>
          <w:szCs w:val="18"/>
        </w:rPr>
        <w:t>2</w:t>
      </w:r>
      <w:r w:rsidRPr="007E4AB7">
        <w:rPr>
          <w:sz w:val="18"/>
          <w:szCs w:val="18"/>
        </w:rPr>
        <w:t xml:space="preserve"> of 3)</w:t>
      </w:r>
    </w:p>
    <w:p w:rsidR="00C23CAB" w:rsidRDefault="00C23CAB" w:rsidP="00632BF9">
      <w:pPr>
        <w:widowControl/>
        <w:spacing w:line="276" w:lineRule="auto"/>
        <w:contextualSpacing/>
        <w:rPr>
          <w:rFonts w:ascii="Arial" w:eastAsia="Arial" w:hAnsi="Arial"/>
          <w:spacing w:val="1"/>
        </w:rPr>
      </w:pPr>
    </w:p>
    <w:p w:rsidR="00C23CAB" w:rsidRDefault="00C23CAB" w:rsidP="00632BF9">
      <w:pPr>
        <w:widowControl/>
        <w:spacing w:line="276" w:lineRule="auto"/>
        <w:contextualSpacing/>
        <w:rPr>
          <w:rFonts w:ascii="Arial" w:eastAsia="Arial" w:hAnsi="Arial"/>
          <w:spacing w:val="1"/>
        </w:rPr>
      </w:pPr>
    </w:p>
    <w:p w:rsidR="00C23CAB" w:rsidRDefault="00C23CAB" w:rsidP="00632BF9">
      <w:pPr>
        <w:widowControl/>
        <w:spacing w:line="276" w:lineRule="auto"/>
        <w:contextualSpacing/>
        <w:rPr>
          <w:rFonts w:ascii="Arial" w:eastAsia="Arial" w:hAnsi="Arial"/>
          <w:spacing w:val="1"/>
        </w:rPr>
      </w:pPr>
    </w:p>
    <w:p w:rsidR="00C23CAB" w:rsidRDefault="00C23CAB" w:rsidP="00632BF9">
      <w:pPr>
        <w:widowControl/>
        <w:spacing w:line="276" w:lineRule="auto"/>
        <w:contextualSpacing/>
        <w:rPr>
          <w:rFonts w:ascii="Arial" w:eastAsia="Arial" w:hAnsi="Arial"/>
          <w:spacing w:val="1"/>
        </w:rPr>
      </w:pPr>
    </w:p>
    <w:p w:rsidR="00CA10F8" w:rsidRDefault="00CA10F8" w:rsidP="00632BF9">
      <w:pPr>
        <w:widowControl/>
        <w:spacing w:line="276" w:lineRule="auto"/>
        <w:contextualSpacing/>
        <w:rPr>
          <w:rFonts w:ascii="Arial" w:eastAsia="Arial" w:hAnsi="Arial"/>
          <w:spacing w:val="1"/>
        </w:rPr>
      </w:pPr>
    </w:p>
    <w:p w:rsidR="00C23CAB" w:rsidRDefault="00C23CAB" w:rsidP="00632BF9">
      <w:pPr>
        <w:widowControl/>
        <w:spacing w:line="276" w:lineRule="auto"/>
        <w:contextualSpacing/>
        <w:rPr>
          <w:rFonts w:ascii="Arial" w:eastAsia="Arial" w:hAnsi="Arial"/>
          <w:spacing w:val="1"/>
        </w:rPr>
      </w:pPr>
    </w:p>
    <w:p w:rsidR="000555B8" w:rsidRPr="000555B8" w:rsidRDefault="000555B8" w:rsidP="000555B8">
      <w:pPr>
        <w:pStyle w:val="BodyText"/>
        <w:ind w:right="127"/>
        <w:rPr>
          <w:spacing w:val="1"/>
        </w:rPr>
      </w:pPr>
      <w:r w:rsidRPr="000555B8">
        <w:rPr>
          <w:spacing w:val="1"/>
        </w:rPr>
        <w:t>“For the health of our region and its workforce, we ca</w:t>
      </w:r>
      <w:r w:rsidR="001C4534">
        <w:rPr>
          <w:spacing w:val="1"/>
        </w:rPr>
        <w:t xml:space="preserve">nnot ignore these findings,” says </w:t>
      </w:r>
      <w:r w:rsidRPr="000555B8">
        <w:rPr>
          <w:spacing w:val="1"/>
        </w:rPr>
        <w:t xml:space="preserve">Jennifer Leonard, president and chief executive officer of the Community Foundation. “In a week in which our nation has been seared by the ugliness of racism in the South, we must face the fact that our region too </w:t>
      </w:r>
      <w:r w:rsidR="001C4534">
        <w:rPr>
          <w:spacing w:val="1"/>
        </w:rPr>
        <w:t>—</w:t>
      </w:r>
      <w:r w:rsidRPr="000555B8">
        <w:rPr>
          <w:spacing w:val="1"/>
        </w:rPr>
        <w:t xml:space="preserve"> once home to Frederick Douglass and Susan B. Anthony </w:t>
      </w:r>
      <w:r w:rsidR="001C4534">
        <w:rPr>
          <w:spacing w:val="1"/>
        </w:rPr>
        <w:t>—</w:t>
      </w:r>
      <w:r w:rsidRPr="000555B8">
        <w:rPr>
          <w:spacing w:val="1"/>
        </w:rPr>
        <w:t xml:space="preserve"> has systematically failed people based on their skin color or ethnicity.  </w:t>
      </w:r>
    </w:p>
    <w:p w:rsidR="000555B8" w:rsidRPr="000555B8" w:rsidRDefault="000555B8" w:rsidP="000555B8">
      <w:pPr>
        <w:pStyle w:val="BodyText"/>
        <w:ind w:right="127"/>
        <w:rPr>
          <w:spacing w:val="1"/>
        </w:rPr>
      </w:pPr>
    </w:p>
    <w:p w:rsidR="008E7CC6" w:rsidRPr="000555B8" w:rsidRDefault="000555B8" w:rsidP="000555B8">
      <w:pPr>
        <w:pStyle w:val="BodyText"/>
        <w:ind w:right="127"/>
        <w:rPr>
          <w:spacing w:val="1"/>
        </w:rPr>
      </w:pPr>
      <w:r w:rsidRPr="000555B8">
        <w:rPr>
          <w:spacing w:val="1"/>
        </w:rPr>
        <w:t>“As we did with the poverty reports, ACT Rochester and the Community Foundation are urging awareness and action to address these deep disparities.”</w:t>
      </w:r>
    </w:p>
    <w:p w:rsidR="000555B8" w:rsidRDefault="000555B8" w:rsidP="008E7CC6">
      <w:pPr>
        <w:pStyle w:val="BodyText"/>
        <w:rPr>
          <w:spacing w:val="1"/>
        </w:rPr>
      </w:pPr>
    </w:p>
    <w:p w:rsidR="008E7CC6" w:rsidRPr="001D3D94" w:rsidRDefault="008E7CC6" w:rsidP="008E7CC6">
      <w:pPr>
        <w:pStyle w:val="BodyText"/>
        <w:rPr>
          <w:spacing w:val="1"/>
        </w:rPr>
      </w:pPr>
      <w:r>
        <w:rPr>
          <w:spacing w:val="1"/>
        </w:rPr>
        <w:t>T</w:t>
      </w:r>
      <w:r w:rsidRPr="008E7CC6">
        <w:rPr>
          <w:spacing w:val="1"/>
        </w:rPr>
        <w:t xml:space="preserve">he new report was funded by </w:t>
      </w:r>
      <w:r>
        <w:rPr>
          <w:spacing w:val="1"/>
        </w:rPr>
        <w:t xml:space="preserve">the Gannett Foundation and </w:t>
      </w:r>
      <w:r w:rsidRPr="008E7CC6">
        <w:rPr>
          <w:spacing w:val="1"/>
        </w:rPr>
        <w:t>the Ralph C. Wilson</w:t>
      </w:r>
      <w:r>
        <w:rPr>
          <w:spacing w:val="1"/>
        </w:rPr>
        <w:t xml:space="preserve">, </w:t>
      </w:r>
      <w:r w:rsidRPr="008E7CC6">
        <w:rPr>
          <w:spacing w:val="1"/>
        </w:rPr>
        <w:t xml:space="preserve">Jr. </w:t>
      </w:r>
      <w:r w:rsidR="00212F16">
        <w:rPr>
          <w:spacing w:val="1"/>
        </w:rPr>
        <w:t xml:space="preserve">Legacy </w:t>
      </w:r>
      <w:r w:rsidRPr="008E7CC6">
        <w:rPr>
          <w:spacing w:val="1"/>
        </w:rPr>
        <w:t>Fund for Smart Strate</w:t>
      </w:r>
      <w:r>
        <w:rPr>
          <w:spacing w:val="1"/>
        </w:rPr>
        <w:t>g</w:t>
      </w:r>
      <w:r w:rsidR="00632BF9">
        <w:rPr>
          <w:spacing w:val="1"/>
        </w:rPr>
        <w:t>y</w:t>
      </w:r>
      <w:r w:rsidR="000555B8">
        <w:rPr>
          <w:spacing w:val="1"/>
        </w:rPr>
        <w:t xml:space="preserve"> at the Community Foundation</w:t>
      </w:r>
      <w:r w:rsidR="00632BF9">
        <w:rPr>
          <w:spacing w:val="1"/>
        </w:rPr>
        <w:t>.</w:t>
      </w:r>
    </w:p>
    <w:p w:rsidR="00212F16" w:rsidRPr="008E7CC6" w:rsidRDefault="00212F16" w:rsidP="008E7CC6">
      <w:pPr>
        <w:pStyle w:val="BodyText"/>
        <w:rPr>
          <w:spacing w:val="1"/>
        </w:rPr>
      </w:pPr>
    </w:p>
    <w:p w:rsidR="008E7CC6" w:rsidRPr="008E7CC6" w:rsidRDefault="008E7CC6" w:rsidP="008E7CC6">
      <w:pPr>
        <w:pStyle w:val="BodyText"/>
        <w:rPr>
          <w:spacing w:val="1"/>
        </w:rPr>
      </w:pPr>
      <w:r w:rsidRPr="008E7CC6">
        <w:rPr>
          <w:spacing w:val="1"/>
        </w:rPr>
        <w:t xml:space="preserve">The report is available at </w:t>
      </w:r>
      <w:r w:rsidR="00C23CAB">
        <w:rPr>
          <w:i/>
          <w:spacing w:val="1"/>
        </w:rPr>
        <w:t xml:space="preserve">ACTRochester.org </w:t>
      </w:r>
      <w:r w:rsidR="00C23CAB" w:rsidRPr="008E7CC6">
        <w:rPr>
          <w:spacing w:val="1"/>
        </w:rPr>
        <w:t>and</w:t>
      </w:r>
      <w:r w:rsidRPr="008E7CC6">
        <w:rPr>
          <w:spacing w:val="1"/>
        </w:rPr>
        <w:t xml:space="preserve"> on the Community Foundation website at </w:t>
      </w:r>
      <w:r w:rsidRPr="00632BF9">
        <w:rPr>
          <w:i/>
          <w:spacing w:val="1"/>
        </w:rPr>
        <w:t>racf.org/Reports</w:t>
      </w:r>
      <w:r w:rsidRPr="008E7CC6">
        <w:rPr>
          <w:spacing w:val="1"/>
        </w:rPr>
        <w:t>.</w:t>
      </w:r>
    </w:p>
    <w:p w:rsidR="00C3335B" w:rsidRDefault="00C3335B" w:rsidP="00C20E99">
      <w:pPr>
        <w:shd w:val="clear" w:color="auto" w:fill="FFFFFF"/>
        <w:ind w:right="975"/>
        <w:rPr>
          <w:rFonts w:ascii="Arial" w:hAnsi="Arial" w:cs="Arial"/>
          <w:b/>
          <w:sz w:val="24"/>
          <w:szCs w:val="24"/>
        </w:rPr>
      </w:pPr>
    </w:p>
    <w:p w:rsidR="00C3335B" w:rsidRPr="001C4534" w:rsidRDefault="00C3335B" w:rsidP="001C4534">
      <w:pPr>
        <w:shd w:val="clear" w:color="auto" w:fill="FFFFFF"/>
        <w:ind w:right="975"/>
        <w:rPr>
          <w:rFonts w:ascii="Arial" w:hAnsi="Arial" w:cs="Arial"/>
          <w:b/>
          <w:sz w:val="24"/>
          <w:szCs w:val="24"/>
        </w:rPr>
      </w:pPr>
      <w:r w:rsidRPr="001C4534">
        <w:rPr>
          <w:rFonts w:ascii="Arial" w:hAnsi="Arial" w:cs="Arial"/>
          <w:b/>
          <w:sz w:val="24"/>
          <w:szCs w:val="24"/>
        </w:rPr>
        <w:t>About the author</w:t>
      </w:r>
    </w:p>
    <w:p w:rsidR="00C3335B" w:rsidRPr="001C4534" w:rsidRDefault="00C3335B" w:rsidP="001C4534">
      <w:pPr>
        <w:shd w:val="clear" w:color="auto" w:fill="FFFFFF"/>
        <w:ind w:right="975"/>
        <w:rPr>
          <w:rFonts w:ascii="Arial" w:hAnsi="Arial" w:cs="Arial"/>
          <w:i/>
          <w:sz w:val="20"/>
          <w:szCs w:val="20"/>
        </w:rPr>
      </w:pPr>
      <w:r w:rsidRPr="001C4534">
        <w:rPr>
          <w:rFonts w:ascii="Arial" w:hAnsi="Arial" w:cs="Arial"/>
          <w:i/>
          <w:sz w:val="20"/>
          <w:szCs w:val="20"/>
        </w:rPr>
        <w:t xml:space="preserve">Now a consultant in private practice, Edward J. Doherty is the previous vice president for community programs at Rochester Area Community Foundation and the commissioner for environmental services of the City of Rochester. His ground-breaking poverty reports for ACT Rochester and the Community Foundation in 2013, 2015 and 2016 have helped focus the community’s attention on the City of Rochester’s high rates of child poverty, </w:t>
      </w:r>
      <w:r w:rsidR="001C4534" w:rsidRPr="001C4534">
        <w:rPr>
          <w:rFonts w:ascii="Arial" w:hAnsi="Arial" w:cs="Arial"/>
          <w:i/>
          <w:sz w:val="20"/>
          <w:szCs w:val="20"/>
        </w:rPr>
        <w:t>concentrated</w:t>
      </w:r>
      <w:r w:rsidRPr="001C4534">
        <w:rPr>
          <w:rFonts w:ascii="Arial" w:hAnsi="Arial" w:cs="Arial"/>
          <w:i/>
          <w:sz w:val="20"/>
          <w:szCs w:val="20"/>
        </w:rPr>
        <w:t xml:space="preserve"> poverty, and overall poverty.</w:t>
      </w:r>
    </w:p>
    <w:p w:rsidR="00C3335B" w:rsidRPr="001C4534" w:rsidRDefault="00C3335B" w:rsidP="001C4534">
      <w:pPr>
        <w:shd w:val="clear" w:color="auto" w:fill="FFFFFF"/>
        <w:ind w:right="975"/>
        <w:rPr>
          <w:rFonts w:ascii="Arial" w:hAnsi="Arial" w:cs="Arial"/>
          <w:b/>
          <w:sz w:val="24"/>
          <w:szCs w:val="24"/>
        </w:rPr>
      </w:pPr>
    </w:p>
    <w:p w:rsidR="00C20E99" w:rsidRPr="001C4534" w:rsidRDefault="00C20E99" w:rsidP="001C4534">
      <w:pPr>
        <w:shd w:val="clear" w:color="auto" w:fill="FFFFFF"/>
        <w:ind w:right="975"/>
        <w:rPr>
          <w:rFonts w:ascii="Arial" w:hAnsi="Arial" w:cs="Arial"/>
          <w:b/>
          <w:sz w:val="24"/>
          <w:szCs w:val="24"/>
        </w:rPr>
      </w:pPr>
      <w:r w:rsidRPr="001C4534">
        <w:rPr>
          <w:rFonts w:ascii="Arial" w:hAnsi="Arial" w:cs="Arial"/>
          <w:b/>
          <w:sz w:val="24"/>
          <w:szCs w:val="24"/>
        </w:rPr>
        <w:t>About ACT Rochester</w:t>
      </w:r>
    </w:p>
    <w:p w:rsidR="00C20E99" w:rsidRPr="001C4534" w:rsidRDefault="00C20E99" w:rsidP="001C4534">
      <w:pPr>
        <w:shd w:val="clear" w:color="auto" w:fill="FFFFFF"/>
        <w:ind w:right="975"/>
        <w:rPr>
          <w:rFonts w:ascii="Arial" w:eastAsia="Times New Roman" w:hAnsi="Arial" w:cs="Arial"/>
          <w:i/>
          <w:sz w:val="20"/>
          <w:szCs w:val="20"/>
        </w:rPr>
      </w:pPr>
      <w:r w:rsidRPr="001C4534">
        <w:rPr>
          <w:rFonts w:ascii="Arial" w:hAnsi="Arial" w:cs="Arial"/>
          <w:i/>
          <w:sz w:val="20"/>
          <w:szCs w:val="20"/>
        </w:rPr>
        <w:t>Launched in 2009, A</w:t>
      </w:r>
      <w:r w:rsidRPr="001C4534">
        <w:rPr>
          <w:rFonts w:ascii="Arial" w:eastAsia="Times New Roman" w:hAnsi="Arial" w:cs="Arial"/>
          <w:i/>
          <w:sz w:val="20"/>
          <w:szCs w:val="20"/>
        </w:rPr>
        <w:t>CT Rochester's purpose is to change the culture of community problem-solving and associated decision-making through the use of credible, independent and timely data. This is accomplished when people LEARN about key issues, CONNECT with others in the community, and ACT to promote change.</w:t>
      </w:r>
    </w:p>
    <w:p w:rsidR="00C20E99" w:rsidRPr="001C4534" w:rsidRDefault="00C20E99" w:rsidP="001C4534">
      <w:pPr>
        <w:shd w:val="clear" w:color="auto" w:fill="FFFFFF"/>
        <w:ind w:right="975"/>
        <w:rPr>
          <w:rFonts w:ascii="Arial" w:eastAsia="Times New Roman" w:hAnsi="Arial" w:cs="Arial"/>
          <w:i/>
          <w:sz w:val="20"/>
          <w:szCs w:val="20"/>
        </w:rPr>
      </w:pPr>
    </w:p>
    <w:p w:rsidR="00C20E99" w:rsidRPr="001C4534" w:rsidRDefault="00C20E99" w:rsidP="001C4534">
      <w:pPr>
        <w:shd w:val="clear" w:color="auto" w:fill="FFFFFF"/>
        <w:ind w:right="975"/>
        <w:rPr>
          <w:rFonts w:ascii="Arial" w:eastAsia="Times New Roman" w:hAnsi="Arial" w:cs="Arial"/>
          <w:i/>
          <w:sz w:val="20"/>
          <w:szCs w:val="20"/>
        </w:rPr>
      </w:pPr>
      <w:r w:rsidRPr="001C4534">
        <w:rPr>
          <w:rFonts w:ascii="Arial" w:eastAsia="Times New Roman" w:hAnsi="Arial" w:cs="Arial"/>
          <w:i/>
          <w:sz w:val="20"/>
          <w:szCs w:val="20"/>
        </w:rPr>
        <w:t xml:space="preserve">Currently a community indicators program of Rochester Area Community Foundation, ACT Rochester provides an objective assessment of the nine-county region's performance on key indicators of well-being. The website, a robust public utility at </w:t>
      </w:r>
      <w:r w:rsidRPr="001C4534">
        <w:rPr>
          <w:rFonts w:ascii="Arial" w:eastAsia="Times New Roman" w:hAnsi="Arial" w:cs="Arial"/>
          <w:sz w:val="20"/>
          <w:szCs w:val="20"/>
        </w:rPr>
        <w:t>www.ACTRochester.org</w:t>
      </w:r>
      <w:r w:rsidRPr="001C4534">
        <w:rPr>
          <w:rFonts w:ascii="Arial" w:eastAsia="Times New Roman" w:hAnsi="Arial" w:cs="Arial"/>
          <w:i/>
          <w:sz w:val="20"/>
          <w:szCs w:val="20"/>
        </w:rPr>
        <w:t>, creates a "one-stop shop" for data and analysis, with more than 100 indicators as well as links to more than 300 community initiatives and resources.</w:t>
      </w:r>
    </w:p>
    <w:p w:rsidR="00C20E99" w:rsidRPr="001C4534" w:rsidRDefault="00C20E99" w:rsidP="001C4534">
      <w:pPr>
        <w:pStyle w:val="BodyText"/>
        <w:ind w:right="104"/>
        <w:rPr>
          <w:rFonts w:cs="Arial"/>
          <w:sz w:val="24"/>
          <w:szCs w:val="24"/>
        </w:rPr>
      </w:pPr>
    </w:p>
    <w:p w:rsidR="00C20E99" w:rsidRPr="001C4534" w:rsidRDefault="00C20E99" w:rsidP="001C4534">
      <w:pPr>
        <w:autoSpaceDE w:val="0"/>
        <w:autoSpaceDN w:val="0"/>
        <w:rPr>
          <w:rFonts w:ascii="Arial" w:hAnsi="Arial" w:cs="Arial"/>
          <w:sz w:val="24"/>
          <w:szCs w:val="24"/>
        </w:rPr>
      </w:pPr>
      <w:r w:rsidRPr="001C4534">
        <w:rPr>
          <w:rFonts w:ascii="Arial" w:hAnsi="Arial" w:cs="Arial"/>
          <w:b/>
          <w:bCs/>
          <w:sz w:val="24"/>
          <w:szCs w:val="24"/>
        </w:rPr>
        <w:t>About Rochester Area Community Foundation:</w:t>
      </w:r>
    </w:p>
    <w:p w:rsidR="000555B8" w:rsidRPr="001C4534" w:rsidRDefault="000555B8" w:rsidP="001C4534">
      <w:pPr>
        <w:autoSpaceDE w:val="0"/>
        <w:autoSpaceDN w:val="0"/>
        <w:rPr>
          <w:rFonts w:ascii="Arial" w:hAnsi="Arial" w:cs="Arial"/>
          <w:i/>
          <w:iCs/>
          <w:sz w:val="20"/>
          <w:szCs w:val="20"/>
        </w:rPr>
      </w:pPr>
      <w:r w:rsidRPr="001C4534">
        <w:rPr>
          <w:rFonts w:ascii="Arial" w:hAnsi="Arial" w:cs="Arial"/>
          <w:i/>
          <w:iCs/>
          <w:sz w:val="20"/>
          <w:szCs w:val="20"/>
        </w:rPr>
        <w:t xml:space="preserve">Rochester Area Community Foundation, in partnership with generous philanthropists and community partners, works to improve the quality of life for people who live in the greater Rochester region through its leadership and strategic </w:t>
      </w:r>
      <w:proofErr w:type="spellStart"/>
      <w:r w:rsidRPr="001C4534">
        <w:rPr>
          <w:rFonts w:ascii="Arial" w:hAnsi="Arial" w:cs="Arial"/>
          <w:i/>
          <w:iCs/>
          <w:sz w:val="20"/>
          <w:szCs w:val="20"/>
        </w:rPr>
        <w:t>grantmaking</w:t>
      </w:r>
      <w:proofErr w:type="spellEnd"/>
      <w:r w:rsidRPr="001C4534">
        <w:rPr>
          <w:rFonts w:ascii="Arial" w:hAnsi="Arial" w:cs="Arial"/>
          <w:i/>
          <w:iCs/>
          <w:sz w:val="20"/>
          <w:szCs w:val="20"/>
        </w:rPr>
        <w:t xml:space="preserve">. Known as the steward of charitable funds and endowments, the Community Foundation connects donors with the region’s current and evolving needs. As a leading </w:t>
      </w:r>
      <w:proofErr w:type="spellStart"/>
      <w:r w:rsidRPr="001C4534">
        <w:rPr>
          <w:rFonts w:ascii="Arial" w:hAnsi="Arial" w:cs="Arial"/>
          <w:i/>
          <w:iCs/>
          <w:sz w:val="20"/>
          <w:szCs w:val="20"/>
        </w:rPr>
        <w:t>grantmaker</w:t>
      </w:r>
      <w:proofErr w:type="spellEnd"/>
      <w:r w:rsidRPr="001C4534">
        <w:rPr>
          <w:rFonts w:ascii="Arial" w:hAnsi="Arial" w:cs="Arial"/>
          <w:i/>
          <w:iCs/>
          <w:sz w:val="20"/>
          <w:szCs w:val="20"/>
        </w:rPr>
        <w:t>, the Foundation focuses on two broad goals — creating an equitable community and strengthening our region’s vitality. The Community Foundation has distributed more than $4</w:t>
      </w:r>
      <w:r w:rsidRPr="001C4534">
        <w:rPr>
          <w:rFonts w:ascii="Arial" w:hAnsi="Arial" w:cs="Arial"/>
          <w:i/>
          <w:iCs/>
          <w:color w:val="000000"/>
          <w:sz w:val="20"/>
          <w:szCs w:val="20"/>
        </w:rPr>
        <w:t xml:space="preserve">00 </w:t>
      </w:r>
      <w:r w:rsidRPr="001C4534">
        <w:rPr>
          <w:rFonts w:ascii="Arial" w:hAnsi="Arial" w:cs="Arial"/>
          <w:i/>
          <w:iCs/>
          <w:sz w:val="20"/>
          <w:szCs w:val="20"/>
        </w:rPr>
        <w:t xml:space="preserve">million in grants and scholarships since its founding in 1972. For more, visit </w:t>
      </w:r>
      <w:hyperlink r:id="rId7" w:history="1">
        <w:r w:rsidRPr="001C4534">
          <w:rPr>
            <w:rStyle w:val="Hyperlink"/>
            <w:rFonts w:ascii="Arial" w:hAnsi="Arial" w:cs="Arial"/>
            <w:i/>
            <w:iCs/>
            <w:sz w:val="20"/>
            <w:szCs w:val="20"/>
          </w:rPr>
          <w:t>www.racf.org</w:t>
        </w:r>
      </w:hyperlink>
      <w:r w:rsidRPr="001C4534">
        <w:rPr>
          <w:rFonts w:ascii="Arial" w:hAnsi="Arial" w:cs="Arial"/>
          <w:i/>
          <w:iCs/>
          <w:sz w:val="20"/>
          <w:szCs w:val="20"/>
        </w:rPr>
        <w:t>.</w:t>
      </w:r>
    </w:p>
    <w:p w:rsidR="00C20E99" w:rsidRPr="001C4534" w:rsidRDefault="00C20E99" w:rsidP="001C4534">
      <w:pPr>
        <w:rPr>
          <w:rFonts w:ascii="Arial" w:hAnsi="Arial" w:cs="Arial"/>
          <w:sz w:val="20"/>
          <w:szCs w:val="20"/>
        </w:rPr>
      </w:pPr>
    </w:p>
    <w:p w:rsidR="00C20E99" w:rsidRDefault="00C20E99" w:rsidP="001C4534">
      <w:pPr>
        <w:pStyle w:val="BodyText"/>
        <w:ind w:right="104"/>
        <w:rPr>
          <w:rFonts w:cs="Arial"/>
        </w:rPr>
      </w:pPr>
    </w:p>
    <w:p w:rsidR="001C4534" w:rsidRDefault="001C4534" w:rsidP="001C4534">
      <w:pPr>
        <w:pStyle w:val="BodyText"/>
        <w:ind w:right="104"/>
        <w:rPr>
          <w:rFonts w:cs="Arial"/>
        </w:rPr>
      </w:pPr>
    </w:p>
    <w:p w:rsidR="001C4534" w:rsidRDefault="001C4534" w:rsidP="001C4534">
      <w:pPr>
        <w:pStyle w:val="BodyText"/>
        <w:ind w:right="104"/>
        <w:rPr>
          <w:rFonts w:cs="Arial"/>
        </w:rPr>
      </w:pPr>
    </w:p>
    <w:p w:rsidR="001C4534" w:rsidRPr="00CB383F" w:rsidRDefault="001C4534" w:rsidP="001C4534">
      <w:pPr>
        <w:pStyle w:val="BodyText"/>
        <w:spacing w:line="239" w:lineRule="auto"/>
        <w:ind w:right="397"/>
        <w:jc w:val="center"/>
        <w:rPr>
          <w:sz w:val="18"/>
          <w:szCs w:val="18"/>
        </w:rPr>
      </w:pPr>
      <w:r w:rsidRPr="00CB383F">
        <w:rPr>
          <w:sz w:val="18"/>
          <w:szCs w:val="18"/>
        </w:rPr>
        <w:t>(</w:t>
      </w:r>
      <w:r w:rsidRPr="007E4AB7">
        <w:rPr>
          <w:sz w:val="18"/>
          <w:szCs w:val="18"/>
        </w:rPr>
        <w:t xml:space="preserve">Page </w:t>
      </w:r>
      <w:r>
        <w:rPr>
          <w:sz w:val="18"/>
          <w:szCs w:val="18"/>
        </w:rPr>
        <w:t>3</w:t>
      </w:r>
      <w:r w:rsidRPr="007E4AB7">
        <w:rPr>
          <w:sz w:val="18"/>
          <w:szCs w:val="18"/>
        </w:rPr>
        <w:t xml:space="preserve"> of 3)</w:t>
      </w:r>
    </w:p>
    <w:p w:rsidR="001C4534" w:rsidRPr="001C4534" w:rsidRDefault="001C4534" w:rsidP="001C4534">
      <w:pPr>
        <w:pStyle w:val="BodyText"/>
        <w:ind w:right="104"/>
        <w:rPr>
          <w:rFonts w:cs="Arial"/>
        </w:rPr>
      </w:pPr>
    </w:p>
    <w:sectPr w:rsidR="001C4534" w:rsidRPr="001C4534">
      <w:headerReference w:type="default" r:id="rId8"/>
      <w:pgSz w:w="12240" w:h="15840"/>
      <w:pgMar w:top="110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AB1" w:rsidRDefault="00805AB1" w:rsidP="00870E8F">
      <w:r>
        <w:separator/>
      </w:r>
    </w:p>
  </w:endnote>
  <w:endnote w:type="continuationSeparator" w:id="0">
    <w:p w:rsidR="00805AB1" w:rsidRDefault="00805AB1" w:rsidP="0087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AB1" w:rsidRDefault="00805AB1" w:rsidP="00870E8F">
      <w:r>
        <w:separator/>
      </w:r>
    </w:p>
  </w:footnote>
  <w:footnote w:type="continuationSeparator" w:id="0">
    <w:p w:rsidR="00805AB1" w:rsidRDefault="00805AB1" w:rsidP="00870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E8F" w:rsidRDefault="00870E8F">
    <w:pPr>
      <w:pStyle w:val="Header"/>
    </w:pPr>
    <w:r>
      <w:t xml:space="preserve">                         </w:t>
    </w:r>
    <w:r>
      <w:rPr>
        <w:noProof/>
      </w:rPr>
      <w:drawing>
        <wp:inline distT="0" distB="0" distL="0" distR="0" wp14:anchorId="1C2C3CF8" wp14:editId="682BB03C">
          <wp:extent cx="1965960" cy="487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960" cy="487680"/>
                  </a:xfrm>
                  <a:prstGeom prst="rect">
                    <a:avLst/>
                  </a:prstGeom>
                  <a:noFill/>
                  <a:ln>
                    <a:noFill/>
                  </a:ln>
                </pic:spPr>
              </pic:pic>
            </a:graphicData>
          </a:graphic>
        </wp:inline>
      </w:drawing>
    </w:r>
    <w:r>
      <w:t xml:space="preserve">                     </w:t>
    </w:r>
    <w:r>
      <w:rPr>
        <w:noProof/>
      </w:rPr>
      <w:drawing>
        <wp:inline distT="0" distB="0" distL="0" distR="0" wp14:anchorId="6F14EC33" wp14:editId="10B64AC7">
          <wp:extent cx="1882140" cy="698933"/>
          <wp:effectExtent l="0" t="0" r="381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F Logo_3 Lines_CMYK_Hi-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3859" cy="6995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79D"/>
    <w:multiLevelType w:val="hybridMultilevel"/>
    <w:tmpl w:val="78DC03D6"/>
    <w:lvl w:ilvl="0" w:tplc="66B6C3DC">
      <w:start w:val="1"/>
      <w:numFmt w:val="bullet"/>
      <w:lvlText w:val="●"/>
      <w:lvlJc w:val="left"/>
      <w:pPr>
        <w:ind w:hanging="360"/>
      </w:pPr>
      <w:rPr>
        <w:rFonts w:ascii="Courier New" w:eastAsia="Courier New" w:hAnsi="Courier New" w:hint="default"/>
        <w:sz w:val="22"/>
        <w:szCs w:val="22"/>
      </w:rPr>
    </w:lvl>
    <w:lvl w:ilvl="1" w:tplc="5A7A4E1A">
      <w:start w:val="1"/>
      <w:numFmt w:val="bullet"/>
      <w:lvlText w:val="•"/>
      <w:lvlJc w:val="left"/>
      <w:rPr>
        <w:rFonts w:hint="default"/>
      </w:rPr>
    </w:lvl>
    <w:lvl w:ilvl="2" w:tplc="D214E008">
      <w:start w:val="1"/>
      <w:numFmt w:val="bullet"/>
      <w:lvlText w:val="•"/>
      <w:lvlJc w:val="left"/>
      <w:rPr>
        <w:rFonts w:hint="default"/>
      </w:rPr>
    </w:lvl>
    <w:lvl w:ilvl="3" w:tplc="18CE02D8">
      <w:start w:val="1"/>
      <w:numFmt w:val="bullet"/>
      <w:lvlText w:val="•"/>
      <w:lvlJc w:val="left"/>
      <w:rPr>
        <w:rFonts w:hint="default"/>
      </w:rPr>
    </w:lvl>
    <w:lvl w:ilvl="4" w:tplc="8E92FE1A">
      <w:start w:val="1"/>
      <w:numFmt w:val="bullet"/>
      <w:lvlText w:val="•"/>
      <w:lvlJc w:val="left"/>
      <w:rPr>
        <w:rFonts w:hint="default"/>
      </w:rPr>
    </w:lvl>
    <w:lvl w:ilvl="5" w:tplc="C6449A08">
      <w:start w:val="1"/>
      <w:numFmt w:val="bullet"/>
      <w:lvlText w:val="•"/>
      <w:lvlJc w:val="left"/>
      <w:rPr>
        <w:rFonts w:hint="default"/>
      </w:rPr>
    </w:lvl>
    <w:lvl w:ilvl="6" w:tplc="A994064E">
      <w:start w:val="1"/>
      <w:numFmt w:val="bullet"/>
      <w:lvlText w:val="•"/>
      <w:lvlJc w:val="left"/>
      <w:rPr>
        <w:rFonts w:hint="default"/>
      </w:rPr>
    </w:lvl>
    <w:lvl w:ilvl="7" w:tplc="3C665D50">
      <w:start w:val="1"/>
      <w:numFmt w:val="bullet"/>
      <w:lvlText w:val="•"/>
      <w:lvlJc w:val="left"/>
      <w:rPr>
        <w:rFonts w:hint="default"/>
      </w:rPr>
    </w:lvl>
    <w:lvl w:ilvl="8" w:tplc="5192D618">
      <w:start w:val="1"/>
      <w:numFmt w:val="bullet"/>
      <w:lvlText w:val="•"/>
      <w:lvlJc w:val="left"/>
      <w:rPr>
        <w:rFonts w:hint="default"/>
      </w:rPr>
    </w:lvl>
  </w:abstractNum>
  <w:abstractNum w:abstractNumId="1" w15:restartNumberingAfterBreak="0">
    <w:nsid w:val="26D16B44"/>
    <w:multiLevelType w:val="hybridMultilevel"/>
    <w:tmpl w:val="CA6ACF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0660D"/>
    <w:multiLevelType w:val="hybridMultilevel"/>
    <w:tmpl w:val="86B8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878F7"/>
    <w:multiLevelType w:val="hybridMultilevel"/>
    <w:tmpl w:val="D572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809F3"/>
    <w:multiLevelType w:val="hybridMultilevel"/>
    <w:tmpl w:val="CB644146"/>
    <w:lvl w:ilvl="0" w:tplc="7FFA261A">
      <w:start w:val="1"/>
      <w:numFmt w:val="bullet"/>
      <w:lvlText w:val="●"/>
      <w:lvlJc w:val="left"/>
      <w:pPr>
        <w:ind w:hanging="360"/>
      </w:pPr>
      <w:rPr>
        <w:rFonts w:ascii="Courier New" w:eastAsia="Courier New" w:hAnsi="Courier New" w:hint="default"/>
        <w:sz w:val="22"/>
        <w:szCs w:val="22"/>
      </w:rPr>
    </w:lvl>
    <w:lvl w:ilvl="1" w:tplc="1604D9AE">
      <w:start w:val="1"/>
      <w:numFmt w:val="bullet"/>
      <w:lvlText w:val="•"/>
      <w:lvlJc w:val="left"/>
      <w:rPr>
        <w:rFonts w:hint="default"/>
      </w:rPr>
    </w:lvl>
    <w:lvl w:ilvl="2" w:tplc="99083FCA">
      <w:start w:val="1"/>
      <w:numFmt w:val="bullet"/>
      <w:lvlText w:val="•"/>
      <w:lvlJc w:val="left"/>
      <w:rPr>
        <w:rFonts w:hint="default"/>
      </w:rPr>
    </w:lvl>
    <w:lvl w:ilvl="3" w:tplc="8A7C4C76">
      <w:start w:val="1"/>
      <w:numFmt w:val="bullet"/>
      <w:lvlText w:val="•"/>
      <w:lvlJc w:val="left"/>
      <w:rPr>
        <w:rFonts w:hint="default"/>
      </w:rPr>
    </w:lvl>
    <w:lvl w:ilvl="4" w:tplc="BD6C76AA">
      <w:start w:val="1"/>
      <w:numFmt w:val="bullet"/>
      <w:lvlText w:val="•"/>
      <w:lvlJc w:val="left"/>
      <w:rPr>
        <w:rFonts w:hint="default"/>
      </w:rPr>
    </w:lvl>
    <w:lvl w:ilvl="5" w:tplc="F86CDF14">
      <w:start w:val="1"/>
      <w:numFmt w:val="bullet"/>
      <w:lvlText w:val="•"/>
      <w:lvlJc w:val="left"/>
      <w:rPr>
        <w:rFonts w:hint="default"/>
      </w:rPr>
    </w:lvl>
    <w:lvl w:ilvl="6" w:tplc="A8984B38">
      <w:start w:val="1"/>
      <w:numFmt w:val="bullet"/>
      <w:lvlText w:val="•"/>
      <w:lvlJc w:val="left"/>
      <w:rPr>
        <w:rFonts w:hint="default"/>
      </w:rPr>
    </w:lvl>
    <w:lvl w:ilvl="7" w:tplc="F5AC5D4E">
      <w:start w:val="1"/>
      <w:numFmt w:val="bullet"/>
      <w:lvlText w:val="•"/>
      <w:lvlJc w:val="left"/>
      <w:rPr>
        <w:rFonts w:hint="default"/>
      </w:rPr>
    </w:lvl>
    <w:lvl w:ilvl="8" w:tplc="EDD6EC10">
      <w:start w:val="1"/>
      <w:numFmt w:val="bullet"/>
      <w:lvlText w:val="•"/>
      <w:lvlJc w:val="left"/>
      <w:rPr>
        <w:rFonts w:hint="default"/>
      </w:rPr>
    </w:lvl>
  </w:abstractNum>
  <w:abstractNum w:abstractNumId="5" w15:restartNumberingAfterBreak="0">
    <w:nsid w:val="6DF056D7"/>
    <w:multiLevelType w:val="hybridMultilevel"/>
    <w:tmpl w:val="63A6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416AA9"/>
    <w:multiLevelType w:val="hybridMultilevel"/>
    <w:tmpl w:val="46F2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02BB7"/>
    <w:multiLevelType w:val="hybridMultilevel"/>
    <w:tmpl w:val="68481866"/>
    <w:lvl w:ilvl="0" w:tplc="83E444C6">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7"/>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CD1"/>
    <w:rsid w:val="00044760"/>
    <w:rsid w:val="000555B8"/>
    <w:rsid w:val="000D7D59"/>
    <w:rsid w:val="00176FF5"/>
    <w:rsid w:val="001A5E25"/>
    <w:rsid w:val="001A7476"/>
    <w:rsid w:val="001C4534"/>
    <w:rsid w:val="001D3D94"/>
    <w:rsid w:val="001F2E3B"/>
    <w:rsid w:val="00212F16"/>
    <w:rsid w:val="002A5C81"/>
    <w:rsid w:val="002D296F"/>
    <w:rsid w:val="002D3D10"/>
    <w:rsid w:val="00393C37"/>
    <w:rsid w:val="003D585D"/>
    <w:rsid w:val="0048473D"/>
    <w:rsid w:val="0051492F"/>
    <w:rsid w:val="00551C30"/>
    <w:rsid w:val="005D4362"/>
    <w:rsid w:val="005F3DC5"/>
    <w:rsid w:val="006211CF"/>
    <w:rsid w:val="00632BF9"/>
    <w:rsid w:val="00653EF1"/>
    <w:rsid w:val="00674CD1"/>
    <w:rsid w:val="007500F3"/>
    <w:rsid w:val="007E082E"/>
    <w:rsid w:val="007E4AB7"/>
    <w:rsid w:val="00805AB1"/>
    <w:rsid w:val="008332E3"/>
    <w:rsid w:val="00870E8F"/>
    <w:rsid w:val="008D14CE"/>
    <w:rsid w:val="008E4F11"/>
    <w:rsid w:val="008E7CC6"/>
    <w:rsid w:val="00936833"/>
    <w:rsid w:val="009B728A"/>
    <w:rsid w:val="009C15D3"/>
    <w:rsid w:val="00A5416E"/>
    <w:rsid w:val="00A61E83"/>
    <w:rsid w:val="00AA1C81"/>
    <w:rsid w:val="00AE2E10"/>
    <w:rsid w:val="00B90A89"/>
    <w:rsid w:val="00C04AA8"/>
    <w:rsid w:val="00C20E99"/>
    <w:rsid w:val="00C23CAB"/>
    <w:rsid w:val="00C3135B"/>
    <w:rsid w:val="00C3335B"/>
    <w:rsid w:val="00CA10F8"/>
    <w:rsid w:val="00CB383F"/>
    <w:rsid w:val="00CC52F6"/>
    <w:rsid w:val="00CE3B78"/>
    <w:rsid w:val="00D6015B"/>
    <w:rsid w:val="00D636F9"/>
    <w:rsid w:val="00D64B7F"/>
    <w:rsid w:val="00D76BE1"/>
    <w:rsid w:val="00E96081"/>
    <w:rsid w:val="00E96F56"/>
    <w:rsid w:val="00EA4CB0"/>
    <w:rsid w:val="00FB5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63C12E"/>
  <w15:docId w15:val="{9BD837C1-02D4-40E8-AD6D-2AB50FED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72"/>
      <w:outlineLvl w:val="0"/>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551C30"/>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0E8F"/>
    <w:rPr>
      <w:rFonts w:ascii="Tahoma" w:hAnsi="Tahoma" w:cs="Tahoma"/>
      <w:sz w:val="16"/>
      <w:szCs w:val="16"/>
    </w:rPr>
  </w:style>
  <w:style w:type="character" w:customStyle="1" w:styleId="BalloonTextChar">
    <w:name w:val="Balloon Text Char"/>
    <w:basedOn w:val="DefaultParagraphFont"/>
    <w:link w:val="BalloonText"/>
    <w:uiPriority w:val="99"/>
    <w:semiHidden/>
    <w:rsid w:val="00870E8F"/>
    <w:rPr>
      <w:rFonts w:ascii="Tahoma" w:hAnsi="Tahoma" w:cs="Tahoma"/>
      <w:sz w:val="16"/>
      <w:szCs w:val="16"/>
    </w:rPr>
  </w:style>
  <w:style w:type="paragraph" w:styleId="Header">
    <w:name w:val="header"/>
    <w:basedOn w:val="Normal"/>
    <w:link w:val="HeaderChar"/>
    <w:uiPriority w:val="99"/>
    <w:unhideWhenUsed/>
    <w:rsid w:val="00870E8F"/>
    <w:pPr>
      <w:tabs>
        <w:tab w:val="center" w:pos="4680"/>
        <w:tab w:val="right" w:pos="9360"/>
      </w:tabs>
    </w:pPr>
  </w:style>
  <w:style w:type="character" w:customStyle="1" w:styleId="HeaderChar">
    <w:name w:val="Header Char"/>
    <w:basedOn w:val="DefaultParagraphFont"/>
    <w:link w:val="Header"/>
    <w:uiPriority w:val="99"/>
    <w:rsid w:val="00870E8F"/>
  </w:style>
  <w:style w:type="paragraph" w:styleId="Footer">
    <w:name w:val="footer"/>
    <w:basedOn w:val="Normal"/>
    <w:link w:val="FooterChar"/>
    <w:uiPriority w:val="99"/>
    <w:unhideWhenUsed/>
    <w:rsid w:val="00870E8F"/>
    <w:pPr>
      <w:tabs>
        <w:tab w:val="center" w:pos="4680"/>
        <w:tab w:val="right" w:pos="9360"/>
      </w:tabs>
    </w:pPr>
  </w:style>
  <w:style w:type="character" w:customStyle="1" w:styleId="FooterChar">
    <w:name w:val="Footer Char"/>
    <w:basedOn w:val="DefaultParagraphFont"/>
    <w:link w:val="Footer"/>
    <w:uiPriority w:val="99"/>
    <w:rsid w:val="00870E8F"/>
  </w:style>
  <w:style w:type="character" w:styleId="Hyperlink">
    <w:name w:val="Hyperlink"/>
    <w:basedOn w:val="DefaultParagraphFont"/>
    <w:uiPriority w:val="99"/>
    <w:semiHidden/>
    <w:unhideWhenUsed/>
    <w:rsid w:val="00C20E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547448">
      <w:bodyDiv w:val="1"/>
      <w:marLeft w:val="0"/>
      <w:marRight w:val="0"/>
      <w:marTop w:val="0"/>
      <w:marBottom w:val="0"/>
      <w:divBdr>
        <w:top w:val="none" w:sz="0" w:space="0" w:color="auto"/>
        <w:left w:val="none" w:sz="0" w:space="0" w:color="auto"/>
        <w:bottom w:val="none" w:sz="0" w:space="0" w:color="auto"/>
        <w:right w:val="none" w:sz="0" w:space="0" w:color="auto"/>
      </w:divBdr>
    </w:div>
    <w:div w:id="2067604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ac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 Holleran</dc:creator>
  <cp:lastModifiedBy>Ann M. Johnson</cp:lastModifiedBy>
  <cp:revision>18</cp:revision>
  <cp:lastPrinted>2017-08-15T16:25:00Z</cp:lastPrinted>
  <dcterms:created xsi:type="dcterms:W3CDTF">2017-08-15T04:22:00Z</dcterms:created>
  <dcterms:modified xsi:type="dcterms:W3CDTF">2017-08-15T17:31:00Z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2016-09-19T00:00:00Z</vt:filetime>
  </property>
  <property fmtid="{D5CDD505-2E9C-101B-9397-08002B2CF9AE}" pid="3" name="LastSaved">
    <vt:filetime>2017-08-11T00:00:00Z</vt:filetime>
  </property>
</Properties>
</file>